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bdr w:val="single" w:sz="16" w:space="1" w:color="000000"/>
        </w:rPr>
      </w:pPr>
      <w:bookmarkStart w:id="0" w:name="ea0289773-8k_braghouse.htm"/>
      <w:bookmarkStart w:id="1" w:name="ksea02897738k_braghouse"/>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A_edei--DocumentType_c20260504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6_edei--DocumentPeriodEndDate_c202"/>
      <w:bookmarkEnd w:id="3"/>
      <w:r>
        <w:rPr>
          <w:rFonts w:ascii="Times New Roman;Times;Serif" w:hAnsi="Times New Roman;Times;Serif"/>
          <w:b/>
          <w:i w:val="false"/>
          <w:caps w:val="false"/>
          <w:smallCaps w:val="false"/>
          <w:sz w:val="20"/>
        </w:rPr>
        <w:t>May 4,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xdx_909_edei--EntityRegistrantName_c2026"/>
      <w:bookmarkEnd w:id="4"/>
      <w:r>
        <w:rPr>
          <w:rFonts w:ascii="Times New Roman;Times;Serif" w:hAnsi="Times New Roman;Times;Serif"/>
          <w:b/>
          <w:i w:val="false"/>
          <w:caps w:val="false"/>
          <w:smallCaps w:val="false"/>
          <w:sz w:val="20"/>
        </w:rPr>
        <w:t>Brag House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435" w:type="dxa"/>
        <w:jc w:val="left"/>
        <w:tblInd w:w="0" w:type="dxa"/>
        <w:tblLayout w:type="fixed"/>
        <w:tblCellMar>
          <w:top w:w="0" w:type="dxa"/>
          <w:left w:w="0" w:type="dxa"/>
          <w:bottom w:w="28" w:type="dxa"/>
          <w:right w:w="0" w:type="dxa"/>
        </w:tblCellMar>
      </w:tblPr>
      <w:tblGrid>
        <w:gridCol w:w="2165"/>
        <w:gridCol w:w="60"/>
        <w:gridCol w:w="2615"/>
        <w:gridCol w:w="60"/>
        <w:gridCol w:w="1535"/>
      </w:tblGrid>
      <w:tr>
        <w:trPr/>
        <w:tc>
          <w:tcPr>
            <w:tcW w:w="2165" w:type="dxa"/>
            <w:tcBorders>
              <w:bottom w:val="single" w:sz="12" w:space="0" w:color="000000"/>
            </w:tcBorders>
            <w:vAlign w:val="center"/>
          </w:tcPr>
          <w:p>
            <w:pPr>
              <w:pStyle w:val="TableContents"/>
              <w:bidi w:val="0"/>
              <w:spacing w:before="0" w:after="283"/>
              <w:jc w:val="center"/>
              <w:rPr>
                <w:b/>
              </w:rPr>
            </w:pPr>
            <w:bookmarkStart w:id="5" w:name="xdx_90B_edei--EntityIncorporationStateCo"/>
            <w:bookmarkEnd w:id="5"/>
            <w:r>
              <w:rPr>
                <w:b/>
              </w:rPr>
              <w:t>Delaware</w:t>
            </w:r>
          </w:p>
        </w:tc>
        <w:tc>
          <w:tcPr>
            <w:tcW w:w="60" w:type="dxa"/>
            <w:tcBorders/>
            <w:tcMar>
              <w:bottom w:w="0" w:type="dxa"/>
            </w:tcMar>
            <w:vAlign w:val="center"/>
          </w:tcPr>
          <w:p>
            <w:pPr>
              <w:pStyle w:val="TableContents"/>
              <w:bidi w:val="0"/>
              <w:spacing w:before="0" w:after="283"/>
              <w:jc w:val="center"/>
              <w:rPr/>
            </w:pPr>
            <w:r>
              <w:rPr/>
              <w:t> </w:t>
            </w:r>
          </w:p>
        </w:tc>
        <w:tc>
          <w:tcPr>
            <w:tcW w:w="2615" w:type="dxa"/>
            <w:tcBorders>
              <w:bottom w:val="single" w:sz="12" w:space="0" w:color="000000"/>
            </w:tcBorders>
            <w:vAlign w:val="center"/>
          </w:tcPr>
          <w:p>
            <w:pPr>
              <w:pStyle w:val="TableContents"/>
              <w:bidi w:val="0"/>
              <w:spacing w:before="0" w:after="283"/>
              <w:jc w:val="center"/>
              <w:rPr>
                <w:b/>
              </w:rPr>
            </w:pPr>
            <w:bookmarkStart w:id="6" w:name="xdx_90F_edei--EntityFileNumber_c20260504"/>
            <w:bookmarkEnd w:id="6"/>
            <w:r>
              <w:rPr>
                <w:b/>
              </w:rPr>
              <w:t>001-42525</w:t>
            </w:r>
          </w:p>
        </w:tc>
        <w:tc>
          <w:tcPr>
            <w:tcW w:w="60" w:type="dxa"/>
            <w:tcBorders/>
            <w:tcMar>
              <w:bottom w:w="0" w:type="dxa"/>
            </w:tcMar>
            <w:vAlign w:val="center"/>
          </w:tcPr>
          <w:p>
            <w:pPr>
              <w:pStyle w:val="TableContents"/>
              <w:bidi w:val="0"/>
              <w:spacing w:before="0" w:after="283"/>
              <w:jc w:val="center"/>
              <w:rPr/>
            </w:pPr>
            <w:r>
              <w:rPr/>
              <w:t> </w:t>
            </w:r>
          </w:p>
        </w:tc>
        <w:tc>
          <w:tcPr>
            <w:tcW w:w="1535" w:type="dxa"/>
            <w:tcBorders>
              <w:bottom w:val="single" w:sz="12" w:space="0" w:color="000000"/>
            </w:tcBorders>
            <w:vAlign w:val="center"/>
          </w:tcPr>
          <w:p>
            <w:pPr>
              <w:pStyle w:val="TableContents"/>
              <w:bidi w:val="0"/>
              <w:spacing w:before="0" w:after="283"/>
              <w:jc w:val="center"/>
              <w:rPr>
                <w:b/>
              </w:rPr>
            </w:pPr>
            <w:bookmarkStart w:id="7" w:name="xdx_90E_edei--EntityTaxIdentificationNum"/>
            <w:bookmarkEnd w:id="7"/>
            <w:r>
              <w:rPr>
                <w:b/>
              </w:rPr>
              <w:t>87-4032622</w:t>
            </w:r>
          </w:p>
        </w:tc>
      </w:tr>
      <w:tr>
        <w:trPr/>
        <w:tc>
          <w:tcPr>
            <w:tcW w:w="216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tcMar>
              <w:bottom w:w="0" w:type="dxa"/>
            </w:tcMar>
            <w:vAlign w:val="center"/>
          </w:tcPr>
          <w:p>
            <w:pPr>
              <w:pStyle w:val="TableContents"/>
              <w:bidi w:val="0"/>
              <w:spacing w:before="0" w:after="283"/>
              <w:jc w:val="center"/>
              <w:rPr/>
            </w:pPr>
            <w:r>
              <w:rPr/>
              <w:t> </w:t>
            </w:r>
          </w:p>
        </w:tc>
        <w:tc>
          <w:tcPr>
            <w:tcW w:w="2615" w:type="dxa"/>
            <w:tcBorders/>
            <w:tcMar>
              <w:bottom w:w="0" w:type="dxa"/>
            </w:tcMar>
            <w:vAlign w:val="center"/>
          </w:tcPr>
          <w:p>
            <w:pPr>
              <w:pStyle w:val="TableContents"/>
              <w:bidi w:val="0"/>
              <w:spacing w:before="0" w:after="283"/>
              <w:jc w:val="center"/>
              <w:rPr/>
            </w:pPr>
            <w:r>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3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45 Park Street,</w:t>
        <w:br/>
      </w:r>
      <w:bookmarkStart w:id="9" w:name="xdx_90E_edei--EntityAddressCityOrTown_c2"/>
      <w:bookmarkEnd w:id="9"/>
      <w:r>
        <w:rPr>
          <w:rFonts w:ascii="Times New Roman;Times;Serif" w:hAnsi="Times New Roman;Times;Serif"/>
          <w:b/>
          <w:i w:val="false"/>
          <w:caps w:val="false"/>
          <w:smallCaps w:val="false"/>
          <w:sz w:val="20"/>
        </w:rPr>
        <w:t xml:space="preserve">Montclair, </w:t>
      </w:r>
      <w:bookmarkStart w:id="10" w:name="xdx_90F_edei--EntityAddressStateOrProvin"/>
      <w:bookmarkEnd w:id="10"/>
      <w:r>
        <w:rPr>
          <w:rFonts w:ascii="Times New Roman;Times;Serif" w:hAnsi="Times New Roman;Times;Serif"/>
          <w:b/>
          <w:i w:val="false"/>
          <w:caps w:val="false"/>
          <w:smallCaps w:val="false"/>
          <w:sz w:val="20"/>
        </w:rPr>
        <w:t xml:space="preserve">NJ </w:t>
      </w:r>
      <w:bookmarkStart w:id="11" w:name="xdx_904_edei--EntityAddressPostalZipCode"/>
      <w:bookmarkEnd w:id="11"/>
      <w:r>
        <w:rPr>
          <w:rFonts w:ascii="Times New Roman;Times;Serif" w:hAnsi="Times New Roman;Times;Serif"/>
          <w:b/>
          <w:i w:val="false"/>
          <w:caps w:val="false"/>
          <w:smallCaps w:val="false"/>
          <w:sz w:val="20"/>
        </w:rPr>
        <w:t>07042</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6_edei--CityAreaCode_c20260504__20"/>
      <w:bookmarkEnd w:id="12"/>
      <w:r>
        <w:rPr>
          <w:rFonts w:ascii="Times New Roman;Times;Serif" w:hAnsi="Times New Roman;Times;Serif"/>
          <w:b/>
          <w:i w:val="false"/>
          <w:caps w:val="false"/>
          <w:smallCaps w:val="false"/>
          <w:sz w:val="20"/>
        </w:rPr>
        <w:t xml:space="preserve">413) </w:t>
      </w:r>
      <w:bookmarkStart w:id="13" w:name="xdx_90C_edei--LocalPhoneNumber_c20260504"/>
      <w:bookmarkEnd w:id="13"/>
      <w:r>
        <w:rPr>
          <w:rFonts w:ascii="Times New Roman;Times;Serif" w:hAnsi="Times New Roman;Times;Serif"/>
          <w:b/>
          <w:i w:val="false"/>
          <w:caps w:val="false"/>
          <w:smallCaps w:val="false"/>
          <w:sz w:val="20"/>
        </w:rPr>
        <w:t>398-2845</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bookmarkStart w:id="14" w:name="xdx_90D_edei--WrittenCommunications_c202"/>
            <w:bookmarkEnd w:id="14"/>
            <w:r>
              <w:rPr/>
              <w:t>☐</w:t>
            </w:r>
          </w:p>
        </w:tc>
        <w:tc>
          <w:tcPr>
            <w:tcW w:w="9960" w:type="dxa"/>
            <w:tcBorders/>
            <w:vAlign w:val="center"/>
          </w:tcPr>
          <w:p>
            <w:pPr>
              <w:pStyle w:val="TableContents"/>
              <w:bidi w:val="0"/>
              <w:spacing w:before="0" w:after="283"/>
              <w:jc w:val="left"/>
              <w:rPr/>
            </w:pPr>
            <w:r>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5" w:name="xdx_907_edei--SolicitingMaterial_c202605"/>
            <w:bookmarkEnd w:id="15"/>
            <w:r>
              <w:rPr/>
              <w:t>☐</w:t>
            </w:r>
          </w:p>
        </w:tc>
        <w:tc>
          <w:tcPr>
            <w:tcW w:w="9960" w:type="dxa"/>
            <w:tcBorders/>
            <w:vAlign w:val="center"/>
          </w:tcPr>
          <w:p>
            <w:pPr>
              <w:pStyle w:val="TableContents"/>
              <w:bidi w:val="0"/>
              <w:spacing w:before="0" w:after="283"/>
              <w:jc w:val="left"/>
              <w:rPr/>
            </w:pPr>
            <w:r>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6" w:name="xdx_904_edei--PreCommencementTenderOffer"/>
            <w:bookmarkEnd w:id="16"/>
            <w:r>
              <w:rPr/>
              <w:t>☐</w:t>
            </w:r>
          </w:p>
        </w:tc>
        <w:tc>
          <w:tcPr>
            <w:tcW w:w="9960" w:type="dxa"/>
            <w:tcBorders/>
            <w:vAlign w:val="center"/>
          </w:tcPr>
          <w:p>
            <w:pPr>
              <w:pStyle w:val="TableContents"/>
              <w:bidi w:val="0"/>
              <w:spacing w:before="0" w:after="283"/>
              <w:jc w:val="left"/>
              <w:rPr/>
            </w:pPr>
            <w:r>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left"/>
              <w:rPr/>
            </w:pPr>
            <w:r>
              <w:rPr/>
              <w:t> </w:t>
            </w:r>
          </w:p>
        </w:tc>
      </w:tr>
      <w:tr>
        <w:trPr/>
        <w:tc>
          <w:tcPr>
            <w:tcW w:w="245" w:type="dxa"/>
            <w:tcBorders/>
            <w:vAlign w:val="center"/>
          </w:tcPr>
          <w:p>
            <w:pPr>
              <w:pStyle w:val="TableContents"/>
              <w:bidi w:val="0"/>
              <w:spacing w:before="0" w:after="283"/>
              <w:jc w:val="left"/>
              <w:rPr/>
            </w:pPr>
            <w:bookmarkStart w:id="17" w:name="xdx_900_edei--PreCommencementIssuerTende"/>
            <w:bookmarkEnd w:id="17"/>
            <w:r>
              <w:rPr/>
              <w:t>☐</w:t>
            </w:r>
          </w:p>
        </w:tc>
        <w:tc>
          <w:tcPr>
            <w:tcW w:w="9960" w:type="dxa"/>
            <w:tcBorders/>
            <w:vAlign w:val="center"/>
          </w:tcPr>
          <w:p>
            <w:pPr>
              <w:pStyle w:val="TableContents"/>
              <w:bidi w:val="0"/>
              <w:spacing w:before="0" w:after="283"/>
              <w:jc w:val="left"/>
              <w:rPr/>
            </w:pPr>
            <w:r>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9870" w:type="dxa"/>
        <w:jc w:val="left"/>
        <w:tblInd w:w="0" w:type="dxa"/>
        <w:tblLayout w:type="fixed"/>
        <w:tblCellMar>
          <w:top w:w="0" w:type="dxa"/>
          <w:left w:w="0" w:type="dxa"/>
          <w:bottom w:w="28" w:type="dxa"/>
          <w:right w:w="0" w:type="dxa"/>
        </w:tblCellMar>
      </w:tblPr>
      <w:tblGrid>
        <w:gridCol w:w="3350"/>
        <w:gridCol w:w="60"/>
        <w:gridCol w:w="1925"/>
        <w:gridCol w:w="60"/>
        <w:gridCol w:w="4475"/>
      </w:tblGrid>
      <w:tr>
        <w:trPr/>
        <w:tc>
          <w:tcPr>
            <w:tcW w:w="3350" w:type="dxa"/>
            <w:tcBorders>
              <w:bottom w:val="single" w:sz="12"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925" w:type="dxa"/>
            <w:tcBorders>
              <w:bottom w:val="single" w:sz="12" w:space="0" w:color="000000"/>
            </w:tcBorders>
            <w:vAlign w:val="center"/>
          </w:tcPr>
          <w:p>
            <w:pPr>
              <w:pStyle w:val="TableContents"/>
              <w:bidi w:val="0"/>
              <w:spacing w:before="0" w:after="283"/>
              <w:jc w:val="center"/>
              <w:rPr>
                <w:b/>
              </w:rPr>
            </w:pPr>
            <w:r>
              <w:rPr>
                <w:b/>
              </w:rPr>
              <w:t>Trading Symbol(s)</w:t>
            </w:r>
          </w:p>
        </w:tc>
        <w:tc>
          <w:tcPr>
            <w:tcW w:w="60" w:type="dxa"/>
            <w:tcBorders/>
            <w:tcMar>
              <w:bottom w:w="0" w:type="dxa"/>
            </w:tcMar>
            <w:vAlign w:val="center"/>
          </w:tcPr>
          <w:p>
            <w:pPr>
              <w:pStyle w:val="TableContents"/>
              <w:bidi w:val="0"/>
              <w:spacing w:before="0" w:after="283"/>
              <w:jc w:val="center"/>
              <w:rPr/>
            </w:pPr>
            <w:r>
              <w:rPr/>
              <w:t> </w:t>
            </w:r>
          </w:p>
        </w:tc>
        <w:tc>
          <w:tcPr>
            <w:tcW w:w="4475" w:type="dxa"/>
            <w:tcBorders>
              <w:bottom w:val="single" w:sz="12" w:space="0" w:color="000000"/>
            </w:tcBorders>
            <w:vAlign w:val="center"/>
          </w:tcPr>
          <w:p>
            <w:pPr>
              <w:pStyle w:val="TableContents"/>
              <w:bidi w:val="0"/>
              <w:spacing w:before="0" w:after="283"/>
              <w:jc w:val="center"/>
              <w:rPr>
                <w:b/>
              </w:rPr>
            </w:pPr>
            <w:r>
              <w:rPr>
                <w:b/>
              </w:rPr>
              <w:t>Name of each exchange on which registered</w:t>
            </w:r>
          </w:p>
        </w:tc>
      </w:tr>
      <w:tr>
        <w:trPr/>
        <w:tc>
          <w:tcPr>
            <w:tcW w:w="3350" w:type="dxa"/>
            <w:tcBorders/>
            <w:shd w:fill="CCEEFF" w:val="clear"/>
            <w:tcMar>
              <w:bottom w:w="0" w:type="dxa"/>
            </w:tcMar>
            <w:vAlign w:val="center"/>
          </w:tcPr>
          <w:p>
            <w:pPr>
              <w:pStyle w:val="TableContents"/>
              <w:bidi w:val="0"/>
              <w:spacing w:before="0" w:after="283"/>
              <w:jc w:val="center"/>
              <w:rPr/>
            </w:pPr>
            <w:bookmarkStart w:id="18" w:name="xdx_90B_edei--Security12bTitle_c20260504"/>
            <w:bookmarkEnd w:id="18"/>
            <w:r>
              <w:rPr/>
              <w:t>Common Stock, $0.0001 par value</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1925" w:type="dxa"/>
            <w:tcBorders/>
            <w:shd w:fill="CCEEFF" w:val="clear"/>
            <w:tcMar>
              <w:bottom w:w="0" w:type="dxa"/>
            </w:tcMar>
            <w:vAlign w:val="center"/>
          </w:tcPr>
          <w:p>
            <w:pPr>
              <w:pStyle w:val="TableContents"/>
              <w:bidi w:val="0"/>
              <w:spacing w:before="0" w:after="283"/>
              <w:jc w:val="center"/>
              <w:rPr/>
            </w:pPr>
            <w:bookmarkStart w:id="19" w:name="xdx_90A_edei--TradingSymbol_c20260504__2"/>
            <w:bookmarkEnd w:id="19"/>
            <w:r>
              <w:rPr/>
              <w:t>TBH</w:t>
            </w:r>
          </w:p>
        </w:tc>
        <w:tc>
          <w:tcPr>
            <w:tcW w:w="60" w:type="dxa"/>
            <w:tcBorders/>
            <w:shd w:fill="CCEEFF" w:val="clear"/>
            <w:tcMar>
              <w:bottom w:w="0" w:type="dxa"/>
            </w:tcMar>
            <w:vAlign w:val="center"/>
          </w:tcPr>
          <w:p>
            <w:pPr>
              <w:pStyle w:val="TableContents"/>
              <w:bidi w:val="0"/>
              <w:spacing w:before="0" w:after="283"/>
              <w:jc w:val="center"/>
              <w:rPr/>
            </w:pPr>
            <w:r>
              <w:rPr/>
              <w:t> </w:t>
            </w:r>
          </w:p>
        </w:tc>
        <w:tc>
          <w:tcPr>
            <w:tcW w:w="4475" w:type="dxa"/>
            <w:tcBorders/>
            <w:shd w:fill="CCEEFF" w:val="clear"/>
            <w:tcMar>
              <w:bottom w:w="0" w:type="dxa"/>
            </w:tcMar>
            <w:vAlign w:val="center"/>
          </w:tcPr>
          <w:p>
            <w:pPr>
              <w:pStyle w:val="TableContents"/>
              <w:bidi w:val="0"/>
              <w:spacing w:before="0" w:after="283"/>
              <w:jc w:val="center"/>
              <w:rPr/>
            </w:pPr>
            <w:r>
              <w:rPr/>
              <w:t xml:space="preserve">The </w:t>
            </w:r>
            <w:bookmarkStart w:id="20" w:name="xdx_90E_edei--SecurityExchangeName_c2026"/>
            <w:bookmarkEnd w:id="20"/>
            <w:r>
              <w:rPr/>
              <w:t>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2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2" w:name="xdx_904_edei--EntityExTransitionPeriod_c"/>
      <w:bookmarkEnd w:id="22"/>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Securities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4, 2026, Brag House Holdings, Inc., a Delaware corporation (the “Company”), entered into a Purchase Agreement (the “Purchase Agreement”) with certain institutional investors (each, a “Purchaser” and collectively, the “Purchasers”), pursuant to which the Company agreed to issue and sell to the Purchasers, and the Purchasers agreed to purchase from the Company, Senior Secured Convertible Notes, each dated May 4, 2026 (collectively, the “Notes”), in an aggregate original principal amount of $2,500,000 (the “Offering”). The aggregate subscription amount funded by the Purchasers was $1,875,000, reflecting a 25% original issue discount. The Notes were offered and sold in reliance upon the exemption from registration provided by Section 4(a)(2) of the Securities Act of 1933, as amended (the “Securities Act”), and Rule 506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Company will issue to the Purchasers an aggregate of 3,000,000 shares of the Company’s Common Stock, par value $0.0001 per share (the “Common Stock”) as a commitment fee (the “Commitment Shares”), allocated pro rata based on each Purchaser’s subscription amount relative to the aggregate subscription amounts of all Purchasers. Each Purchaser will receive 1,000,000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Agreement contains customary representations, warranties, and covenants of the Company and the Purchasers. The Company agreed not to undertake a reverse or forward stock split or reclassification of Common Stock without the prior written consent of the holders of at least a majority of the aggregate principal amount of the Notes issued for a period of one year following the Effective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net proceeds from the Offering was deposited by the Company with House of Doge, Inc. (“House of Doge”) in anticipation of the closing of the Company’s merger with House of Doge.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Convertible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Company will issue the Notes to the Purchasers in an aggregate original principal amount of $2,500,000, with each Purchaser receiving a Note in the original principal amount of $833,333.34 (subscription amount of $625,000 each).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of the Notes are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Maturity Date.</w:t>
      </w:r>
      <w:r>
        <w:rPr>
          <w:rFonts w:ascii="Times New Roman;Times;Serif" w:hAnsi="Times New Roman;Times;Serif"/>
          <w:b w:val="false"/>
          <w:i w:val="false"/>
          <w:caps w:val="false"/>
          <w:smallCaps w:val="false"/>
          <w:sz w:val="20"/>
        </w:rPr>
        <w:t xml:space="preserve"> The Notes mature on February 4, 2027.</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Interest Rate.</w:t>
      </w:r>
      <w:r>
        <w:rPr>
          <w:rFonts w:ascii="Times New Roman;Times;Serif" w:hAnsi="Times New Roman;Times;Serif"/>
          <w:b w:val="false"/>
          <w:i w:val="false"/>
          <w:caps w:val="false"/>
          <w:smallCaps w:val="false"/>
          <w:sz w:val="20"/>
        </w:rPr>
        <w:t xml:space="preserve"> The Notes bear interest at a rate of 12.0% per annum, computed on the basis of a 360-day year and twelve 30-day months. The Company may elect to pay interest in cash quarterly in arrears or to accrue interest (compounded quarterly) and add it to the outstanding principal balance. Upon the occurrence and during the continuance of an Event of Default (as defined in the Notes), the interest rate increases to 17.5% per annum.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Original Issue Discount.</w:t>
      </w:r>
      <w:r>
        <w:rPr>
          <w:rFonts w:ascii="Times New Roman;Times;Serif" w:hAnsi="Times New Roman;Times;Serif"/>
          <w:b w:val="false"/>
          <w:i w:val="false"/>
          <w:caps w:val="false"/>
          <w:smallCaps w:val="false"/>
          <w:sz w:val="20"/>
        </w:rPr>
        <w:t xml:space="preserve"> Each Note was issued at an original issue discount of 25% (i.e., the issue price of each Note is 75% of its original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Conversion.</w:t>
      </w:r>
      <w:r>
        <w:rPr>
          <w:rFonts w:ascii="Times New Roman;Times;Serif" w:hAnsi="Times New Roman;Times;Serif"/>
          <w:b w:val="false"/>
          <w:i w:val="false"/>
          <w:caps w:val="false"/>
          <w:smallCaps w:val="false"/>
          <w:sz w:val="20"/>
        </w:rPr>
        <w:t xml:space="preserve"> The Notes are convertible at the option of the holder at any time after the issuance date into shares of Common Stock, at a conversion price of $0.7101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Beneficial Ownership Limitation.</w:t>
      </w:r>
      <w:r>
        <w:rPr>
          <w:rFonts w:ascii="Times New Roman;Times;Serif" w:hAnsi="Times New Roman;Times;Serif"/>
          <w:b w:val="false"/>
          <w:i w:val="false"/>
          <w:caps w:val="false"/>
          <w:smallCaps w:val="false"/>
          <w:sz w:val="20"/>
        </w:rPr>
        <w:t xml:space="preserve"> Each Note contains a beneficial ownership limitation providing that the holder may not convert the Note to the extent that such conversion would cause the holder, together with its Attribution Parties (as defined in the Notes), to beneficially own in excess of 4.99% of the number of shares of Common Stock outstanding immediately after giving effect to such issuance.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Exchange Cap. Prior to the receipt of stockholder approval in accordance with Nasdaq Listing Rule 5635, the Company shall not issue shares of Common Stock upon conversion of the Notes to the extent that the aggregate number of shares issued or issuable to a holder under the Notes and Commitment Shares would exceed such holder’s pro rata portion of 19.99% of the total number of shares of Common Stock outstanding as of the date of the Purchase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Prepayment.</w:t>
      </w:r>
      <w:r>
        <w:rPr>
          <w:rFonts w:ascii="Times New Roman;Times;Serif" w:hAnsi="Times New Roman;Times;Serif"/>
          <w:b w:val="false"/>
          <w:i w:val="false"/>
          <w:caps w:val="false"/>
          <w:smallCaps w:val="false"/>
          <w:sz w:val="20"/>
        </w:rPr>
        <w:t xml:space="preserve"> The Company may prepay all or any portion of the outstanding principal at any time prior to the Maturity Date without penalty, premium, additional interest, or fees, subject to providing the holder with at least ten (10) Business Days’ prior written notice, during which period the holder may elect to convert.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 Redemption.</w:t>
      </w:r>
      <w:r>
        <w:rPr>
          <w:rFonts w:ascii="Times New Roman;Times;Serif" w:hAnsi="Times New Roman;Times;Serif"/>
          <w:b w:val="false"/>
          <w:i w:val="false"/>
          <w:caps w:val="false"/>
          <w:smallCaps w:val="false"/>
          <w:sz w:val="20"/>
        </w:rPr>
        <w:t xml:space="preserve"> Beginning on the date that is six (6) months after the Closing Date, the holder may demand repayment in cash of all or any portion of the outstanding principal plus all accrued and unpaid interest thereon by delivering a written notice to the Company, and the Company shall pay such amount within five (5) Business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Security. Pursuant to the Transaction Documents, the Company is obligated to deliver a Pledge Agreement granting to the collateral agent for the benefit of the holders a second priority perfected security interest in substantially all of the assets of the Company and its subsidiaries. The Pledge Agreement is a post-closing deliverable, the delivery of which is subject to YA II PN LTD.’s (“Yorkville”) consent. Such security interest will be contractually subordinate to the existing indebtedness owed to Yorkville but senior to all other existing and future indebtedness and shall automatically become a first priority security interest upon the full repayment of all obligations owed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Guaranty.</w:t>
      </w:r>
      <w:r>
        <w:rPr>
          <w:rFonts w:ascii="Times New Roman;Times;Serif" w:hAnsi="Times New Roman;Times;Serif"/>
          <w:b w:val="false"/>
          <w:i w:val="false"/>
          <w:caps w:val="false"/>
          <w:smallCaps w:val="false"/>
          <w:sz w:val="20"/>
        </w:rPr>
        <w:t xml:space="preserve"> Pursuant to the Notes, each existing subsidiary of the Company is required to execute and deliver a Global Guaranty Agreement guaranteeing the full, prompt and unconditional payment and performance of all obligations of the Company under the Transaction Documents. The Global Guaranty Agreement is a post-closing deliverable, the delivery of which is subject to Yorkville’s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Ranking.</w:t>
      </w:r>
      <w:r>
        <w:rPr>
          <w:rFonts w:ascii="Times New Roman;Times;Serif" w:hAnsi="Times New Roman;Times;Serif"/>
          <w:b w:val="false"/>
          <w:i w:val="false"/>
          <w:caps w:val="false"/>
          <w:smallCaps w:val="false"/>
          <w:sz w:val="20"/>
        </w:rPr>
        <w:t xml:space="preserve"> All payments due under the Notes rank pari passu with all other Notes and are senior to all other indebtedness of the Company and its subsidiaries, other than existing indebtedness owed to Yorkville.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Events of Default.</w:t>
      </w:r>
      <w:r>
        <w:rPr>
          <w:rFonts w:ascii="Times New Roman;Times;Serif" w:hAnsi="Times New Roman;Times;Serif"/>
          <w:b w:val="false"/>
          <w:i w:val="false"/>
          <w:caps w:val="false"/>
          <w:smallCaps w:val="false"/>
          <w:sz w:val="20"/>
        </w:rPr>
        <w:t xml:space="preserve"> The Notes contain customary events of default, including, among others, failure to pay principal or interest when due, breach of covenants, cross-defaults, bankruptcy events, and failure to maintain trading market 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on May 4, 2026, the Company entered into a Registration Rights Agreement (the “Registration Rights Agreement”) with the Purchasers. Pursuant to the Registration Rights Agreement, the Company agreed to file a registration statement (the “Registration Statement”) with the Commission covering the resale of all Registrable Instruments, which include shares of Common Stock issuable upon conversion of the Notes and the Commitment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agreed to file the initial Registration Statement on or prior to the earlier of (a) five (5) trading days following the completion of audited financials for House of Doge through December 31, 2025 and (b) June 30, 2026. The Company shall use its best efforts to complete the audit of House of Doge’s financials on or before June 15,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descriptions of the Purchase Agreement, the Form of Senior Secured Convertible Notes, and the Registration Rights Agreement are qualified in their entirety by reference to the full text of such agreements, copies of which are filed as exhibits to this Current Report on Form 8-K and are incorporated herein by reference. The Pledge Agreement and Global Guaranty Agreement are post-closing deliverables that have not yet been executed and delivered and are not filed as exhibits to this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with respect to the Notes is incorporated herein by reference. The issuance of the Notes in the aggregate original principal amount of $2,500,000 constitutes the creation of a direct financial obligation of the Company. The Notes bear interest at 12.0% per annum, mature on February 4, 2027, are convertible into shares of Common Stock at a conversion price of $0.7101 per share, and are secured by a second priority perfected security interest in substantially all assets of the Company and its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in Item 1.01 above is incorporated herein by reference. On May 4, 2026, the Company will issue the Notes and the Commitment Shares to the Purchasers in a private placement exempt from registration under the Securities Act pursuant to Section 4(a)(2) thereof and Rule 506 promulgated thereunder. Each Purchaser represented that it is an “accredited investor” as defined in Rule 501(a) under the Securities Act. The Commitment Shares will consist of an aggregate of 3,000,000 shares of Common Stock to be issued to the Purchasers as a commitment fee. The Notes are convertible into shares of Common Stock at a conversion price of $0.7101 per share, subject to adjustment, and are subject to beneficial ownership limitations.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058"/>
        <w:gridCol w:w="60"/>
        <w:gridCol w:w="9087"/>
      </w:tblGrid>
      <w:tr>
        <w:trPr/>
        <w:tc>
          <w:tcPr>
            <w:tcW w:w="1058" w:type="dxa"/>
            <w:tcBorders>
              <w:bottom w:val="single" w:sz="12" w:space="0" w:color="000000"/>
            </w:tcBorders>
            <w:vAlign w:val="center"/>
          </w:tcPr>
          <w:p>
            <w:pPr>
              <w:pStyle w:val="TableContents"/>
              <w:bidi w:val="0"/>
              <w:spacing w:before="0" w:after="283"/>
              <w:jc w:val="left"/>
              <w:rPr>
                <w:b/>
              </w:rPr>
            </w:pPr>
            <w:r>
              <w:rPr>
                <w:b/>
              </w:rPr>
              <w:t>Exhibit No.</w:t>
            </w:r>
          </w:p>
        </w:tc>
        <w:tc>
          <w:tcPr>
            <w:tcW w:w="60" w:type="dxa"/>
            <w:tcBorders/>
            <w:tcMar>
              <w:bottom w:w="0" w:type="dxa"/>
            </w:tcMar>
            <w:vAlign w:val="center"/>
          </w:tcPr>
          <w:p>
            <w:pPr>
              <w:pStyle w:val="TableContents"/>
              <w:bidi w:val="0"/>
              <w:spacing w:before="0" w:after="283"/>
              <w:jc w:val="left"/>
              <w:rPr/>
            </w:pPr>
            <w:r>
              <w:rPr/>
              <w:t> </w:t>
            </w:r>
          </w:p>
        </w:tc>
        <w:tc>
          <w:tcPr>
            <w:tcW w:w="9087" w:type="dxa"/>
            <w:tcBorders>
              <w:bottom w:val="single" w:sz="12" w:space="0" w:color="000000"/>
            </w:tcBorders>
            <w:vAlign w:val="center"/>
          </w:tcPr>
          <w:p>
            <w:pPr>
              <w:pStyle w:val="TableContents"/>
              <w:bidi w:val="0"/>
              <w:spacing w:before="0" w:after="283"/>
              <w:jc w:val="center"/>
              <w:rPr>
                <w:b/>
              </w:rPr>
            </w:pPr>
            <w:r>
              <w:rPr>
                <w:b/>
              </w:rPr>
              <w:t>Description</w:t>
            </w:r>
          </w:p>
        </w:tc>
      </w:tr>
      <w:tr>
        <w:trPr/>
        <w:tc>
          <w:tcPr>
            <w:tcW w:w="1058" w:type="dxa"/>
            <w:tcBorders/>
            <w:shd w:fill="CCEEFF" w:val="clear"/>
            <w:tcMar>
              <w:bottom w:w="0" w:type="dxa"/>
            </w:tcMar>
            <w:vAlign w:val="center"/>
          </w:tcPr>
          <w:p>
            <w:pPr>
              <w:pStyle w:val="TableContents"/>
              <w:bidi w:val="0"/>
              <w:spacing w:before="0" w:after="283"/>
              <w:jc w:val="left"/>
              <w:rPr/>
            </w:pPr>
            <w:r>
              <w:rPr/>
              <w:t>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both"/>
              <w:rPr/>
            </w:pPr>
            <w:hyperlink w:anchor="ea028977301ex4-1.htm">
              <w:r>
                <w:rPr>
                  <w:rStyle w:val="InternetLink"/>
                </w:rPr>
                <w:t>Form of Senior Secured Convertible Notes, dated May 4, 2026, by and between Brag House Holdings, Inc. and the Purchasers party thereto</w:t>
              </w:r>
            </w:hyperlink>
          </w:p>
        </w:tc>
      </w:tr>
      <w:tr>
        <w:trPr/>
        <w:tc>
          <w:tcPr>
            <w:tcW w:w="1058" w:type="dxa"/>
            <w:tcBorders/>
            <w:shd w:fill="FFFFFF" w:val="clear"/>
            <w:tcMar>
              <w:bottom w:w="0" w:type="dxa"/>
            </w:tcMar>
            <w:vAlign w:val="center"/>
          </w:tcPr>
          <w:p>
            <w:pPr>
              <w:pStyle w:val="TableContents"/>
              <w:bidi w:val="0"/>
              <w:spacing w:before="0" w:after="283"/>
              <w:jc w:val="left"/>
              <w:rPr/>
            </w:pPr>
            <w:r>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7" w:type="dxa"/>
            <w:tcBorders/>
            <w:shd w:fill="FFFFFF" w:val="clear"/>
            <w:tcMar>
              <w:bottom w:w="0" w:type="dxa"/>
            </w:tcMar>
            <w:vAlign w:val="center"/>
          </w:tcPr>
          <w:p>
            <w:pPr>
              <w:pStyle w:val="TableContents"/>
              <w:bidi w:val="0"/>
              <w:spacing w:before="0" w:after="283"/>
              <w:jc w:val="both"/>
              <w:rPr/>
            </w:pPr>
            <w:hyperlink w:anchor="ea028977301ex10-1.htm">
              <w:r>
                <w:rPr>
                  <w:rStyle w:val="InternetLink"/>
                </w:rPr>
                <w:t>Securities Purchase Agreement, dated May 4, 2026, by and between Brag House Holdings, Inc. and the Purchasers party thereto</w:t>
              </w:r>
            </w:hyperlink>
          </w:p>
        </w:tc>
      </w:tr>
      <w:tr>
        <w:trPr/>
        <w:tc>
          <w:tcPr>
            <w:tcW w:w="1058" w:type="dxa"/>
            <w:tcBorders/>
            <w:shd w:fill="CCEEFF" w:val="clear"/>
            <w:tcMar>
              <w:bottom w:w="0" w:type="dxa"/>
            </w:tcMar>
            <w:vAlign w:val="center"/>
          </w:tcPr>
          <w:p>
            <w:pPr>
              <w:pStyle w:val="TableContents"/>
              <w:bidi w:val="0"/>
              <w:spacing w:before="0" w:after="283"/>
              <w:jc w:val="left"/>
              <w:rPr/>
            </w:pPr>
            <w:r>
              <w:rPr/>
              <w:t>10.2</w:t>
            </w:r>
          </w:p>
        </w:tc>
        <w:tc>
          <w:tcPr>
            <w:tcW w:w="60" w:type="dxa"/>
            <w:tcBorders/>
            <w:shd w:fill="CCEEFF" w:val="clear"/>
            <w:tcMar>
              <w:bottom w:w="0" w:type="dxa"/>
            </w:tcMar>
            <w:vAlign w:val="center"/>
          </w:tcPr>
          <w:p>
            <w:pPr>
              <w:pStyle w:val="TableContents"/>
              <w:bidi w:val="0"/>
              <w:spacing w:before="0" w:after="283"/>
              <w:jc w:val="left"/>
              <w:rPr/>
            </w:pPr>
            <w:r>
              <w:rPr/>
              <w:t> </w:t>
            </w:r>
          </w:p>
        </w:tc>
        <w:tc>
          <w:tcPr>
            <w:tcW w:w="9087" w:type="dxa"/>
            <w:tcBorders/>
            <w:shd w:fill="CCEEFF" w:val="clear"/>
            <w:tcMar>
              <w:bottom w:w="0" w:type="dxa"/>
            </w:tcMar>
            <w:vAlign w:val="center"/>
          </w:tcPr>
          <w:p>
            <w:pPr>
              <w:pStyle w:val="TableContents"/>
              <w:bidi w:val="0"/>
              <w:spacing w:before="0" w:after="283"/>
              <w:jc w:val="both"/>
              <w:rPr/>
            </w:pPr>
            <w:hyperlink w:anchor="ea028977301ex10-2.htm">
              <w:r>
                <w:rPr>
                  <w:rStyle w:val="InternetLink"/>
                </w:rPr>
                <w:t>Registration Rights Agreement, dated May 4, 2026, by and between Brag House Holdings, Inc. and the Purchasers party thereto</w:t>
              </w:r>
            </w:hyperlink>
          </w:p>
        </w:tc>
      </w:tr>
      <w:tr>
        <w:trPr/>
        <w:tc>
          <w:tcPr>
            <w:tcW w:w="1058" w:type="dxa"/>
            <w:tcBorders/>
            <w:shd w:fill="FFFFFF" w:val="clear"/>
            <w:tcMar>
              <w:bottom w:w="0" w:type="dxa"/>
            </w:tcMar>
            <w:vAlign w:val="center"/>
          </w:tcPr>
          <w:p>
            <w:pPr>
              <w:pStyle w:val="TableContents"/>
              <w:bidi w:val="0"/>
              <w:spacing w:before="0" w:after="283"/>
              <w:jc w:val="left"/>
              <w:rPr/>
            </w:pPr>
            <w:r>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087" w:type="dxa"/>
            <w:tcBorders/>
            <w:shd w:fill="FFFFFF" w:val="clear"/>
            <w:tcMar>
              <w:bottom w:w="0" w:type="dxa"/>
            </w:tcMar>
            <w:vAlign w:val="center"/>
          </w:tcPr>
          <w:p>
            <w:pPr>
              <w:pStyle w:val="TableContents"/>
              <w:bidi w:val="0"/>
              <w:spacing w:before="0" w:after="283"/>
              <w:jc w:val="both"/>
              <w:rPr/>
            </w:pPr>
            <w:r>
              <w:rPr/>
              <w:t>Cover Page Interactive Data File (embedded with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5499" w:type="dxa"/>
        <w:jc w:val="left"/>
        <w:tblInd w:w="0" w:type="dxa"/>
        <w:tblLayout w:type="fixed"/>
        <w:tblCellMar>
          <w:top w:w="0" w:type="dxa"/>
          <w:left w:w="0" w:type="dxa"/>
          <w:bottom w:w="0" w:type="dxa"/>
          <w:right w:w="0" w:type="dxa"/>
        </w:tblCellMar>
      </w:tblPr>
      <w:tblGrid>
        <w:gridCol w:w="1820"/>
        <w:gridCol w:w="838"/>
        <w:gridCol w:w="2841"/>
      </w:tblGrid>
      <w:tr>
        <w:trPr/>
        <w:tc>
          <w:tcPr>
            <w:tcW w:w="1820" w:type="dxa"/>
            <w:tcBorders/>
            <w:vAlign w:val="center"/>
          </w:tcPr>
          <w:p>
            <w:pPr>
              <w:pStyle w:val="TableContents"/>
              <w:bidi w:val="0"/>
              <w:spacing w:before="0" w:after="283"/>
              <w:jc w:val="left"/>
              <w:rPr/>
            </w:pPr>
            <w:r>
              <w:rPr/>
              <w:t>Date: May 8, 2026</w:t>
            </w:r>
          </w:p>
        </w:tc>
        <w:tc>
          <w:tcPr>
            <w:tcW w:w="3679" w:type="dxa"/>
            <w:gridSpan w:val="2"/>
            <w:tcBorders/>
            <w:vAlign w:val="center"/>
          </w:tcPr>
          <w:p>
            <w:pPr>
              <w:pStyle w:val="TableContents"/>
              <w:bidi w:val="0"/>
              <w:spacing w:before="0" w:after="283"/>
              <w:jc w:val="left"/>
              <w:rPr>
                <w:b/>
              </w:rPr>
            </w:pPr>
            <w:r>
              <w:rPr>
                <w:b/>
              </w:rPr>
              <w:t xml:space="preserve">BRAG HOUSE HOLDINGS, INC. </w:t>
            </w:r>
          </w:p>
        </w:tc>
      </w:tr>
      <w:tr>
        <w:trPr/>
        <w:tc>
          <w:tcPr>
            <w:tcW w:w="1820"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w:t>
            </w:r>
          </w:p>
        </w:tc>
        <w:tc>
          <w:tcPr>
            <w:tcW w:w="2841"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xml:space="preserve">By: </w:t>
            </w:r>
          </w:p>
        </w:tc>
        <w:tc>
          <w:tcPr>
            <w:tcW w:w="2841" w:type="dxa"/>
            <w:tcBorders>
              <w:bottom w:val="single" w:sz="12" w:space="0" w:color="000000"/>
            </w:tcBorders>
            <w:tcMar>
              <w:bottom w:w="28" w:type="dxa"/>
            </w:tcMar>
            <w:vAlign w:val="center"/>
          </w:tcPr>
          <w:p>
            <w:pPr>
              <w:pStyle w:val="TableContents"/>
              <w:bidi w:val="0"/>
              <w:spacing w:before="0" w:after="283"/>
              <w:jc w:val="left"/>
              <w:rPr>
                <w:i/>
              </w:rPr>
            </w:pPr>
            <w:r>
              <w:rPr>
                <w:i/>
              </w:rPr>
              <w:t>/s/ Lavell Juan Malloy, II</w:t>
            </w:r>
          </w:p>
        </w:tc>
      </w:tr>
      <w:tr>
        <w:trPr/>
        <w:tc>
          <w:tcPr>
            <w:tcW w:w="1820"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Name: </w:t>
            </w:r>
          </w:p>
        </w:tc>
        <w:tc>
          <w:tcPr>
            <w:tcW w:w="2841" w:type="dxa"/>
            <w:tcBorders/>
            <w:vAlign w:val="center"/>
          </w:tcPr>
          <w:p>
            <w:pPr>
              <w:pStyle w:val="TableContents"/>
              <w:bidi w:val="0"/>
              <w:spacing w:before="0" w:after="283"/>
              <w:jc w:val="left"/>
              <w:rPr/>
            </w:pPr>
            <w:r>
              <w:rPr/>
              <w:t>Lavell Juan Malloy, II</w:t>
            </w:r>
          </w:p>
        </w:tc>
      </w:tr>
      <w:tr>
        <w:trPr/>
        <w:tc>
          <w:tcPr>
            <w:tcW w:w="1820" w:type="dxa"/>
            <w:tcBorders/>
            <w:vAlign w:val="center"/>
          </w:tcPr>
          <w:p>
            <w:pPr>
              <w:pStyle w:val="TableContents"/>
              <w:bidi w:val="0"/>
              <w:spacing w:before="0" w:after="283"/>
              <w:jc w:val="left"/>
              <w:rPr/>
            </w:pPr>
            <w:r>
              <w:rPr/>
              <w:t> </w:t>
            </w:r>
          </w:p>
        </w:tc>
        <w:tc>
          <w:tcPr>
            <w:tcW w:w="838" w:type="dxa"/>
            <w:tcBorders/>
            <w:vAlign w:val="center"/>
          </w:tcPr>
          <w:p>
            <w:pPr>
              <w:pStyle w:val="TableContents"/>
              <w:bidi w:val="0"/>
              <w:spacing w:before="0" w:after="283"/>
              <w:jc w:val="left"/>
              <w:rPr/>
            </w:pPr>
            <w:r>
              <w:rPr/>
              <w:t xml:space="preserve">Title: </w:t>
            </w:r>
          </w:p>
        </w:tc>
        <w:tc>
          <w:tcPr>
            <w:tcW w:w="2841" w:type="dxa"/>
            <w:tcBorders/>
            <w:vAlign w:val="center"/>
          </w:tcPr>
          <w:p>
            <w:pPr>
              <w:pStyle w:val="TableContents"/>
              <w:bidi w:val="0"/>
              <w:spacing w:before="0" w:after="283"/>
              <w:jc w:val="left"/>
              <w:rPr/>
            </w:pPr>
            <w:r>
              <w:rPr/>
              <w:t>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3" w:name="ea028977301ex4-1.htm"/>
      <w:bookmarkStart w:id="24" w:name="ksea028977301ex41"/>
      <w:bookmarkEnd w:id="23"/>
      <w:bookmarkEnd w:id="24"/>
      <w:r>
        <w:rPr>
          <w:b/>
        </w:rPr>
        <w:t>Exhibit 4.1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THIS INSTRUMENT NOR THE INSTRUMENTS INTO WHICH THIS INSTRUMENT IS CONVERTIBLE HAS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INSTRUMENT AND THE INSTRUMENTS ISSUABLE UPON CONVERSION OF THIS INSTRUMENT MAY BE PLEDGED IN CONNECTION WITH A BONA FIDE MARGIN ACCOUNT WITH A REGISTERED BROKER-DEALER OR OTHER LOAN WITH A FINANCIAL INSTITUTION THAT IS AN “ACCREDITED INVESTOR” AS DEFINED IN RULE 501(a) UNDER THE SECURITIES ACT OR OTHER LOAN SECURED BY SUCH INSTRUMENTS. ANY TRANSFEREE OF THIS NOTE SHOULD CAREFULLY REVIEW THE TERMS OF THIS NOTE, INCLUDING SECTIONS 3(c)(iii) AND 17(a) HEREOF. THE PRINCIPAL AMOUNT REPRESENTED BY THIS NOTE AND, ACCORDINGLY, THE INSTRUMENTS ISSUABLE UPON CONVERSION HEREOF MAY BE LESS THAN THE AMOUNT SET FORTH ON THE FACE HEREOF PURSUANT TO SECTION 3(c)(iii) OF THIS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THIS NOTE HAS BEEN ISSUED WITH AN ORIGINAL ISSUE DISCOUNT (“OID”). PURSUANT TO TREASURY REGULATION §1.1275-3(b)(1), LAVELL JUAN MALLOY II, A REPRESENTATIVE OF THE COMPANY HEREOF WILL, BEGINNING TEN DAYS AFTER THE ISSUANCE DATE OF THIS NOTE, PROMPTLY MAKE AVAILABLE TO THE HOLDER UPON REQUEST THE INFORMATION DESCRIBED IN TREASURY REGULATION §1.1275-3(b)(1)(i). LAVELL JUAN MALLOY II MAY BE REACHED AT TELEPHONE NUMBER [***].</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Brag House Holdings, Inc.</w:t>
      </w:r>
    </w:p>
    <w:p>
      <w:pPr>
        <w:pStyle w:val="TextBody"/>
        <w:bidi w:val="0"/>
        <w:spacing w:before="0" w:after="0"/>
        <w:ind w:left="0" w:right="0" w:hanging="0"/>
        <w:jc w:val="center"/>
        <w:rPr>
          <w:smallCaps/>
        </w:rPr>
      </w:pPr>
      <w:r>
        <w:rPr>
          <w:smallCaps/>
        </w:rPr>
        <w:t> </w:t>
      </w:r>
    </w:p>
    <w:p>
      <w:pPr>
        <w:pStyle w:val="TextBody"/>
        <w:bidi w:val="0"/>
        <w:spacing w:before="0" w:after="0"/>
        <w:ind w:left="0" w:right="0" w:hanging="0"/>
        <w:jc w:val="center"/>
        <w:rPr>
          <w:rFonts w:ascii="Times New Roman;Times;Serif" w:hAnsi="Times New Roman;Times;Serif"/>
          <w:b/>
          <w:i w:val="false"/>
          <w:smallCaps/>
          <w:sz w:val="20"/>
        </w:rPr>
      </w:pPr>
      <w:r>
        <w:rPr>
          <w:rFonts w:ascii="Times New Roman;Times;Serif" w:hAnsi="Times New Roman;Times;Serif"/>
          <w:b/>
          <w:i w:val="false"/>
          <w:smallCaps/>
          <w:sz w:val="20"/>
        </w:rPr>
        <w:t>SENIOR SECURED CONVERTIBLE NOTE</w:t>
      </w:r>
    </w:p>
    <w:p>
      <w:pPr>
        <w:pStyle w:val="TextBody"/>
        <w:bidi w:val="0"/>
        <w:spacing w:before="0" w:after="0"/>
        <w:ind w:left="0" w:right="0" w:hanging="0"/>
        <w:jc w:val="center"/>
        <w:rPr>
          <w:smallCaps/>
        </w:rPr>
      </w:pPr>
      <w:r>
        <w:rPr>
          <w:smallCaps/>
        </w:rPr>
        <w:t> </w:t>
      </w:r>
    </w:p>
    <w:tbl>
      <w:tblPr>
        <w:tblW w:w="6400" w:type="dxa"/>
        <w:jc w:val="left"/>
        <w:tblInd w:w="0" w:type="dxa"/>
        <w:tblLayout w:type="fixed"/>
        <w:tblCellMar>
          <w:top w:w="0" w:type="dxa"/>
          <w:left w:w="0" w:type="dxa"/>
          <w:bottom w:w="0" w:type="dxa"/>
          <w:right w:w="0" w:type="dxa"/>
        </w:tblCellMar>
      </w:tblPr>
      <w:tblGrid>
        <w:gridCol w:w="2690"/>
        <w:gridCol w:w="3710"/>
      </w:tblGrid>
      <w:tr>
        <w:trPr/>
        <w:tc>
          <w:tcPr>
            <w:tcW w:w="2690" w:type="dxa"/>
            <w:tcBorders/>
            <w:vAlign w:val="center"/>
          </w:tcPr>
          <w:p>
            <w:pPr>
              <w:pStyle w:val="TableContents"/>
              <w:bidi w:val="0"/>
              <w:spacing w:before="0" w:after="283"/>
              <w:jc w:val="left"/>
              <w:rPr/>
            </w:pPr>
            <w:r>
              <w:rPr/>
              <w:t>Issuance Date: May 4, 2026</w:t>
            </w:r>
          </w:p>
        </w:tc>
        <w:tc>
          <w:tcPr>
            <w:tcW w:w="3710" w:type="dxa"/>
            <w:tcBorders/>
            <w:vAlign w:val="center"/>
          </w:tcPr>
          <w:p>
            <w:pPr>
              <w:pStyle w:val="TableContents"/>
              <w:bidi w:val="0"/>
              <w:spacing w:before="0" w:after="283"/>
              <w:jc w:val="right"/>
              <w:rPr>
                <w:sz w:val="20"/>
              </w:rPr>
            </w:pPr>
            <w:r>
              <w:rPr>
                <w:sz w:val="20"/>
              </w:rPr>
              <w:t>Original Principal Amount: U.S. $833,333.34</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FOR VALUE RECEIVED</w:t>
      </w:r>
      <w:r>
        <w:rPr>
          <w:rFonts w:ascii="Times New Roman;Times;Serif" w:hAnsi="Times New Roman;Times;Serif"/>
          <w:b w:val="false"/>
          <w:i w:val="false"/>
          <w:caps w:val="false"/>
          <w:smallCaps w:val="false"/>
          <w:sz w:val="20"/>
        </w:rPr>
        <w:t>, Brag House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hereby promises to pay to [***] or registered assigns (the “</w:t>
      </w:r>
      <w:r>
        <w:rPr>
          <w:rFonts w:ascii="Times New Roman;Times;Serif" w:hAnsi="Times New Roman;Times;Serif"/>
          <w:b/>
          <w:i w:val="false"/>
          <w:caps w:val="false"/>
          <w:smallCaps w:val="false"/>
          <w:sz w:val="20"/>
        </w:rPr>
        <w:t>Holder</w:t>
      </w:r>
      <w:r>
        <w:rPr>
          <w:rFonts w:ascii="Times New Roman;Times;Serif" w:hAnsi="Times New Roman;Times;Serif"/>
          <w:b w:val="false"/>
          <w:i w:val="false"/>
          <w:caps w:val="false"/>
          <w:smallCaps w:val="false"/>
          <w:sz w:val="20"/>
        </w:rPr>
        <w:t>”) in cash and/or in shares of Common Stock the amount set forth above as the Original Principal Amount (as reduced pursuant to the terms hereof pursuant to redemption, conversion or otherwise, the “</w:t>
      </w:r>
      <w:r>
        <w:rPr>
          <w:rFonts w:ascii="Times New Roman;Times;Serif" w:hAnsi="Times New Roman;Times;Serif"/>
          <w:b/>
          <w:i w:val="false"/>
          <w:caps w:val="false"/>
          <w:smallCaps w:val="false"/>
          <w:sz w:val="20"/>
        </w:rPr>
        <w:t>Principal</w:t>
      </w:r>
      <w:r>
        <w:rPr>
          <w:rFonts w:ascii="Times New Roman;Times;Serif" w:hAnsi="Times New Roman;Times;Serif"/>
          <w:b w:val="false"/>
          <w:i w:val="false"/>
          <w:caps w:val="false"/>
          <w:smallCaps w:val="false"/>
          <w:sz w:val="20"/>
        </w:rPr>
        <w:t>”) when due, whether upon the Maturity Date (as defined below), acceleration, redemption or otherwise (in each case in accordance with the terms hereof) and to pay interest (“</w:t>
      </w:r>
      <w:r>
        <w:rPr>
          <w:rFonts w:ascii="Times New Roman;Times;Serif" w:hAnsi="Times New Roman;Times;Serif"/>
          <w:b/>
          <w:i w:val="false"/>
          <w:caps w:val="false"/>
          <w:smallCaps w:val="false"/>
          <w:sz w:val="20"/>
        </w:rPr>
        <w:t>Interest</w:t>
      </w:r>
      <w:r>
        <w:rPr>
          <w:rFonts w:ascii="Times New Roman;Times;Serif" w:hAnsi="Times New Roman;Times;Serif"/>
          <w:b w:val="false"/>
          <w:i w:val="false"/>
          <w:caps w:val="false"/>
          <w:smallCaps w:val="false"/>
          <w:sz w:val="20"/>
        </w:rPr>
        <w:t>”) on any outstanding Principal at the applicable Interest Rate at any time from the date set out above as the Issuance Date (the “</w:t>
      </w:r>
      <w:r>
        <w:rPr>
          <w:rFonts w:ascii="Times New Roman;Times;Serif" w:hAnsi="Times New Roman;Times;Serif"/>
          <w:b/>
          <w:i w:val="false"/>
          <w:caps w:val="false"/>
          <w:smallCaps w:val="false"/>
          <w:sz w:val="20"/>
        </w:rPr>
        <w:t>Issuance Date</w:t>
      </w:r>
      <w:r>
        <w:rPr>
          <w:rFonts w:ascii="Times New Roman;Times;Serif" w:hAnsi="Times New Roman;Times;Serif"/>
          <w:b w:val="false"/>
          <w:i w:val="false"/>
          <w:caps w:val="false"/>
          <w:smallCaps w:val="false"/>
          <w:sz w:val="20"/>
        </w:rPr>
        <w:t>”) until the same becomes due and payable, whether upon the Maturity Date, acceleration, conversion, redemption or otherwise (in each case in accordance with the terms hereof). To secure the prompt payment and performance of all obligations of the Company under this Note and the other Transaction Documents, the Company has granted to the collateral agent for the benefit of the Holder and the holders of the Other Notes a second priority perfected security interest in the Collateral (as defined in the Security Agreement) pursuant to the Security Agreement, which security interest is contractually subordinate to the existing indebtedness owed to YA II PN LTD. and/or its affiliates (“</w:t>
      </w:r>
      <w:r>
        <w:rPr>
          <w:rFonts w:ascii="Times New Roman;Times;Serif" w:hAnsi="Times New Roman;Times;Serif"/>
          <w:b/>
          <w:i w:val="false"/>
          <w:caps w:val="false"/>
          <w:smallCaps w:val="false"/>
          <w:sz w:val="20"/>
        </w:rPr>
        <w:t>Yorkville</w:t>
      </w:r>
      <w:r>
        <w:rPr>
          <w:rFonts w:ascii="Times New Roman;Times;Serif" w:hAnsi="Times New Roman;Times;Serif"/>
          <w:b w:val="false"/>
          <w:i w:val="false"/>
          <w:caps w:val="false"/>
          <w:smallCaps w:val="false"/>
          <w:sz w:val="20"/>
        </w:rPr>
        <w:t>”) pursuant to the Yorkville Documents (as defined in Section 31); upon the full repayment of all obligations owed to Yorkville under the Yorkville Documents, such security interest shall automatically become a first priority security interest without the need for any amendment, consent, or further documentation. This Senior Secured Convertible Note (including all Senior Secured Convertible Notes issued in exchange, transfer or replacement hereof, this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 one of an issue of Senior Secured Convertible Notes issued pursuant to the Purchase Agreement on the Closing Date (collectively, the “</w:t>
      </w:r>
      <w:r>
        <w:rPr>
          <w:rFonts w:ascii="Times New Roman;Times;Serif" w:hAnsi="Times New Roman;Times;Serif"/>
          <w:b/>
          <w:i w:val="false"/>
          <w:caps w:val="false"/>
          <w:smallCaps w:val="false"/>
          <w:sz w:val="20"/>
        </w:rPr>
        <w:t>Notes</w:t>
      </w:r>
      <w:r>
        <w:rPr>
          <w:rFonts w:ascii="Times New Roman;Times;Serif" w:hAnsi="Times New Roman;Times;Serif"/>
          <w:b w:val="false"/>
          <w:i w:val="false"/>
          <w:caps w:val="false"/>
          <w:smallCaps w:val="false"/>
          <w:sz w:val="20"/>
        </w:rPr>
        <w:t>” and such other Senior Secured Convertible Notes, the “</w:t>
      </w:r>
      <w:r>
        <w:rPr>
          <w:rFonts w:ascii="Times New Roman;Times;Serif" w:hAnsi="Times New Roman;Times;Serif"/>
          <w:b/>
          <w:i w:val="false"/>
          <w:caps w:val="false"/>
          <w:smallCaps w:val="false"/>
          <w:sz w:val="20"/>
        </w:rPr>
        <w:t>Other Notes</w:t>
      </w:r>
      <w:r>
        <w:rPr>
          <w:rFonts w:ascii="Times New Roman;Times;Serif" w:hAnsi="Times New Roman;Times;Serif"/>
          <w:b w:val="false"/>
          <w:i w:val="false"/>
          <w:caps w:val="false"/>
          <w:smallCaps w:val="false"/>
          <w:sz w:val="20"/>
        </w:rPr>
        <w:t>”). Certain capitalized terms used herein are defined in Section 31.</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ORIGINAL ISSUE DISCOUNT; PAYMENTS OF PRINCIPAL; PREPAYMENT</w:t>
      </w:r>
      <w:r>
        <w:rPr>
          <w:rFonts w:ascii="Times New Roman;Times;Serif" w:hAnsi="Times New Roman;Times;Serif"/>
          <w:b w:val="false"/>
          <w:i w:val="false"/>
          <w:caps w:val="false"/>
          <w:smallCaps w:val="false"/>
          <w:sz w:val="20"/>
        </w:rPr>
        <w:t>. The Company acknowledges and agrees that this Note was issued at an original issue discount of 25% (i.e., the issue price of this Note is 75% of the Original Principal Amount stated on the face hereof, representing OID equal to 25% of such Original Principal Amount). On the Maturity Date, if any portion of this Note remains outstanding, the Company shall pay to the Holder an amount in cash representing all outstanding Principal, any accrued and unpaid Interest and any accrued and unpaid Late Charges (as defined in Section 23(b)) on such Principal and Interest. The “</w:t>
      </w:r>
      <w:r>
        <w:rPr>
          <w:rFonts w:ascii="Times New Roman;Times;Serif" w:hAnsi="Times New Roman;Times;Serif"/>
          <w:b/>
          <w:i w:val="false"/>
          <w:caps w:val="false"/>
          <w:smallCaps w:val="false"/>
          <w:sz w:val="20"/>
        </w:rPr>
        <w:t>Maturity Date</w:t>
      </w:r>
      <w:r>
        <w:rPr>
          <w:rFonts w:ascii="Times New Roman;Times;Serif" w:hAnsi="Times New Roman;Times;Serif"/>
          <w:b w:val="false"/>
          <w:i w:val="false"/>
          <w:caps w:val="false"/>
          <w:smallCaps w:val="false"/>
          <w:sz w:val="20"/>
        </w:rPr>
        <w:t>” shall be February 1, 2027, as may be extended at the option of the Holder (x)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and/or (y) through the date that is ten (10) Business Days after the consummation of a Change of Control in the event that a Change of Control is publicly announced or a Change of Control Notice (as defined in Section 5(b)) is delivered prior to the Maturity Date. The Company may, at its option, prepay all or any portion of the outstanding Principal at any time prior to the Maturity Date without penalty, premium, additional interest, or fees, provided that (i) the Company shall provide the Holder with at least ten (10) Business Days’ prior written notice of any such prepayment, during which period the Holder shall have the right to elect to convert all or any portion of the Principal and accrued Interest subject to such prepayment into shares of Common Stock pursuant to Section 3, and (ii) any such prepayment shall be accompanied by payment of all accrued and unpaid Interest on the Principal amount being prepaid through the date of such prepayment. In addition, beginning on the date that is six (6) months after the Closing Date, the Holder may, at its sole discretion and for any reason or no reason, demand repayment in cash of all or any portion of the outstanding Principal plus all accrued and unpaid Interest thereon by delivering written notice to the Company (a “</w:t>
      </w:r>
      <w:r>
        <w:rPr>
          <w:rFonts w:ascii="Times New Roman;Times;Serif" w:hAnsi="Times New Roman;Times;Serif"/>
          <w:b/>
          <w:i w:val="false"/>
          <w:caps w:val="false"/>
          <w:smallCaps w:val="false"/>
          <w:sz w:val="20"/>
        </w:rPr>
        <w:t>Cash Redemption Notice</w:t>
      </w:r>
      <w:r>
        <w:rPr>
          <w:rFonts w:ascii="Times New Roman;Times;Serif" w:hAnsi="Times New Roman;Times;Serif"/>
          <w:b w:val="false"/>
          <w:i w:val="false"/>
          <w:caps w:val="false"/>
          <w:smallCaps w:val="false"/>
          <w:sz w:val="20"/>
        </w:rPr>
        <w:t>”), and the Company shall pay such amount to the Holder in cash by wire transfer of immediately available funds within five (5) Business Days after the Company’s receipt of such Cash Redemption Notice.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Interest on this Note shall commence accruing on the Issuance Date at the Interest Rate and shall be computed on the basis of a 360-day year and twelve 30-day months. The Company shall have the right to elect, no later than five (5) Business Days prior to the last day of each Calendar Quarter, the manner in which Interest accrued during such Calendar Quarter shall be paid by delivering written notice to the Holder (an “</w:t>
      </w:r>
      <w:r>
        <w:rPr>
          <w:rFonts w:ascii="Times New Roman;Times;Serif" w:hAnsi="Times New Roman;Times;Serif"/>
          <w:b/>
          <w:i w:val="false"/>
          <w:caps w:val="false"/>
          <w:smallCaps w:val="false"/>
          <w:sz w:val="20"/>
        </w:rPr>
        <w:t>Interest Election Notice</w:t>
      </w:r>
      <w:r>
        <w:rPr>
          <w:rFonts w:ascii="Times New Roman;Times;Serif" w:hAnsi="Times New Roman;Times;Serif"/>
          <w:b w:val="false"/>
          <w:i w:val="false"/>
          <w:caps w:val="false"/>
          <w:smallCaps w:val="false"/>
          <w:sz w:val="20"/>
        </w:rPr>
        <w:t>”), as follows: (a) Interest shall be paid in cash in arrears within five (5) Business Days following the end of such Calendar Quarter by wire transfer of immediately available funds pursuant to wire instructions provided by the Holder in writing to the Company, or (b) Interest shall compound quarterly and be added to the outstanding Principal balance of this Note, to be paid in cash at the earlier of (i) the Maturity Date or (ii) the date of full repayment of this Note. If the Company fails to deliver a timely Interest Election Notice with respect to any Calendar Quarter, the Company shall be deemed to have elected option (b) for such Calendar Quarter. Any Interest added to Principal pursuant to option (b) shall thereafter accrue Interest at the Interest Rate. For the avoidance of doubt, all outstanding accrued and unpaid Interest shall also be included in the Conversion Amount on each Conversion Date and upon any redemption hereunder occurring prior to the Maturity Date, including, without limitation, upon a Bankruptcy Event of Default redemption. From and after the occurrence and during the continuance of an Event of Default, the Interest Rate shall be increased to seventeen and one-half percent (17.5%) per annum (to the extent Holder has not elected acceleration pursuant to Section 4(c) hereof). In the event that such Event of Default is subsequently cured and no other Event of Default then exists,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 provided, further, that for the purpose of this Section 2, such Event of Default shall not be deemed cured unless and until any accrued and unpaid Interest shall be paid to the Holder, including, without limitation, Interest accrued at the increased rate of seventeen and one-half percent (17.5%) per annum.</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CONVERSION OF NOTES</w:t>
      </w:r>
      <w:r>
        <w:rPr>
          <w:rFonts w:ascii="Times New Roman;Times;Serif" w:hAnsi="Times New Roman;Times;Serif"/>
          <w:b w:val="false"/>
          <w:i w:val="false"/>
          <w:caps w:val="false"/>
          <w:smallCaps w:val="false"/>
          <w:sz w:val="20"/>
        </w:rPr>
        <w:t>. At any time or times after the Issuance Date, this Note shall be convertible into shares of Common Stock, on the terms and conditions set forth in this Section 3.</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Conversion Right</w:t>
      </w:r>
      <w:r>
        <w:rPr>
          <w:rFonts w:ascii="Times New Roman;Times;Serif" w:hAnsi="Times New Roman;Times;Serif"/>
          <w:b w:val="false"/>
          <w:i w:val="false"/>
          <w:caps w:val="false"/>
          <w:smallCaps w:val="false"/>
          <w:sz w:val="20"/>
        </w:rPr>
        <w:t>. Subject to the provisions of Section 3(d), at any time or times on or after the Issuance Date, the Holder shall be entitled to convert all or any portion of the outstanding and unpaid Conversion Amount into fully paid and nonassessable shares of Common Stock in accordance with Section 3(c), at the Conversion Rate (as defined below). The Company shall not issue any fraction of a share of Common Stock upon any conversion. If the issuance would result in the issuance of a fraction of a share of Common Stock, the Company shall round such fraction of a share of Common Stock up to the nearest whole share. The Company shall pay any and all transfer, stamp and similar taxes that may be payable with respect to the issuance and delivery of Common Stock upon conversion of any Conversion Amount.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Conversion Rate</w:t>
      </w:r>
      <w:r>
        <w:rPr>
          <w:rFonts w:ascii="Times New Roman;Times;Serif" w:hAnsi="Times New Roman;Times;Serif"/>
          <w:b w:val="false"/>
          <w:i w:val="false"/>
          <w:caps w:val="false"/>
          <w:smallCaps w:val="false"/>
          <w:sz w:val="20"/>
        </w:rPr>
        <w:t>. The number of shares of Common Stock issuable upon conversion of any Conversion Amount pursuant to Section 3(a) shall be determined by dividing (x) such Conversion Amount by (y) the Conversion Price (the “</w:t>
      </w:r>
      <w:r>
        <w:rPr>
          <w:rFonts w:ascii="Times New Roman;Times;Serif" w:hAnsi="Times New Roman;Times;Serif"/>
          <w:b/>
          <w:i w:val="false"/>
          <w:caps w:val="false"/>
          <w:smallCaps w:val="false"/>
          <w:sz w:val="20"/>
        </w:rPr>
        <w:t>Conversion Rate</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Conversion Amount</w:t>
      </w:r>
      <w:r>
        <w:rPr>
          <w:rFonts w:ascii="Times New Roman;Times;Serif" w:hAnsi="Times New Roman;Times;Serif"/>
          <w:b w:val="false"/>
          <w:i w:val="false"/>
          <w:caps w:val="false"/>
          <w:smallCaps w:val="false"/>
          <w:sz w:val="20"/>
        </w:rPr>
        <w:t>” means the sum of (A) the portion of the Principal to be converted, redeemed or otherwise with respect to which this determination is being made, (B) accrued and unpaid Interest, if any, with respect to such Principal and (C) accrued and unpaid Late Charges, if any, with respect to such Principal and Interest.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i w:val="false"/>
          <w:caps w:val="false"/>
          <w:smallCaps w:val="false"/>
          <w:sz w:val="20"/>
        </w:rPr>
        <w:t>Conversion Price</w:t>
      </w:r>
      <w:r>
        <w:rPr>
          <w:rFonts w:ascii="Times New Roman;Times;Serif" w:hAnsi="Times New Roman;Times;Serif"/>
          <w:b w:val="false"/>
          <w:i w:val="false"/>
          <w:caps w:val="false"/>
          <w:smallCaps w:val="false"/>
          <w:sz w:val="20"/>
        </w:rPr>
        <w:t>” means, as of any Conversion Date or other date of determination, $0.7101, subject to adjustment as provided herein.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Mechanics of Conversion</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Optional Conversion</w:t>
      </w:r>
      <w:r>
        <w:rPr>
          <w:rFonts w:ascii="Times New Roman;Times;Serif" w:hAnsi="Times New Roman;Times;Serif"/>
          <w:b w:val="false"/>
          <w:i w:val="false"/>
          <w:caps w:val="false"/>
          <w:smallCaps w:val="false"/>
          <w:sz w:val="20"/>
        </w:rPr>
        <w:t>. To convert any Conversion Amount into shares of Common Stock on any date (a “</w:t>
      </w:r>
      <w:r>
        <w:rPr>
          <w:rFonts w:ascii="Times New Roman;Times;Serif" w:hAnsi="Times New Roman;Times;Serif"/>
          <w:b/>
          <w:i w:val="false"/>
          <w:caps w:val="false"/>
          <w:smallCaps w:val="false"/>
          <w:sz w:val="20"/>
        </w:rPr>
        <w:t>Conversion Date</w:t>
      </w:r>
      <w:r>
        <w:rPr>
          <w:rFonts w:ascii="Times New Roman;Times;Serif" w:hAnsi="Times New Roman;Times;Serif"/>
          <w:b w:val="false"/>
          <w:i w:val="false"/>
          <w:caps w:val="false"/>
          <w:smallCaps w:val="false"/>
          <w:sz w:val="20"/>
        </w:rPr>
        <w:t xml:space="preserve">”), the Holder shall (A) transmit by electronic mail (or otherwise deliver), for delivery on or prior to 11:59 p.m., New York time, on such date, a copy of an executed notice of conversion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xml:space="preserve"> (a “</w:t>
      </w:r>
      <w:r>
        <w:rPr>
          <w:rFonts w:ascii="Times New Roman;Times;Serif" w:hAnsi="Times New Roman;Times;Serif"/>
          <w:b/>
          <w:i w:val="false"/>
          <w:caps w:val="false"/>
          <w:smallCaps w:val="false"/>
          <w:sz w:val="20"/>
        </w:rPr>
        <w:t>Conversion Notice</w:t>
      </w:r>
      <w:r>
        <w:rPr>
          <w:rFonts w:ascii="Times New Roman;Times;Serif" w:hAnsi="Times New Roman;Times;Serif"/>
          <w:b w:val="false"/>
          <w:i w:val="false"/>
          <w:caps w:val="false"/>
          <w:smallCaps w:val="false"/>
          <w:sz w:val="20"/>
        </w:rPr>
        <w:t>”) to the Company and (B) if required by Section 3(c)(iii), but without delaying the Company’s requirement to deliver shares of Common Stock on the applicable Share Delivery Date (as defined below), surrender this Note to a common carrier for delivery to the Company as soon as practicable on or following such date (or an indemnification undertaking with respect to this Note in the case of its loss, theft, destruction or mutilation in compliance with the procedures set forth in Section 17(b)). No ink-original Conversion Notice shall be required, nor shall any medallion guarantee (or other type of guarantee or notarization) of any Conversion Notice be required. On or before the first (1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Trading Day following the date of delivery of a Conversion Notice, the Company shall transmit by electronic mail a confirmation of receipt of such Conversion Notice to the Holder and the Company’s transfer agent (the “</w:t>
      </w:r>
      <w:r>
        <w:rPr>
          <w:rFonts w:ascii="Times New Roman;Times;Serif" w:hAnsi="Times New Roman;Times;Serif"/>
          <w:b/>
          <w:i w:val="false"/>
          <w:caps w:val="false"/>
          <w:smallCaps w:val="false"/>
          <w:sz w:val="20"/>
        </w:rPr>
        <w:t>Transfer Agent</w:t>
      </w:r>
      <w:r>
        <w:rPr>
          <w:rFonts w:ascii="Times New Roman;Times;Serif" w:hAnsi="Times New Roman;Times;Serif"/>
          <w:b w:val="false"/>
          <w:i w:val="false"/>
          <w:caps w:val="false"/>
          <w:smallCaps w:val="false"/>
          <w:sz w:val="20"/>
        </w:rPr>
        <w:t>”). On or before the earlier of (i) the first (1st) Trading Day and (ii) the number of Trading Days comprising the Standard Settlement Period, in each case, following the date on which the Holder has delivered the applicable Conversion Notice to the Company (a “</w:t>
      </w:r>
      <w:r>
        <w:rPr>
          <w:rFonts w:ascii="Times New Roman;Times;Serif" w:hAnsi="Times New Roman;Times;Serif"/>
          <w:b/>
          <w:i w:val="false"/>
          <w:caps w:val="false"/>
          <w:smallCaps w:val="false"/>
          <w:sz w:val="20"/>
        </w:rPr>
        <w:t>Share Delivery Date</w:t>
      </w:r>
      <w:r>
        <w:rPr>
          <w:rFonts w:ascii="Times New Roman;Times;Serif" w:hAnsi="Times New Roman;Times;Serif"/>
          <w:b w:val="false"/>
          <w:i w:val="false"/>
          <w:caps w:val="false"/>
          <w:smallCaps w:val="false"/>
          <w:sz w:val="20"/>
        </w:rPr>
        <w:t>”), the Company shall (x) provided that the Transfer Agent is participating in the Depository Trust Company (“</w:t>
      </w:r>
      <w:r>
        <w:rPr>
          <w:rFonts w:ascii="Times New Roman;Times;Serif" w:hAnsi="Times New Roman;Times;Serif"/>
          <w:b/>
          <w:i w:val="false"/>
          <w:caps w:val="false"/>
          <w:smallCaps w:val="false"/>
          <w:sz w:val="20"/>
        </w:rPr>
        <w:t>DTC</w:t>
      </w:r>
      <w:r>
        <w:rPr>
          <w:rFonts w:ascii="Times New Roman;Times;Serif" w:hAnsi="Times New Roman;Times;Serif"/>
          <w:b w:val="false"/>
          <w:i w:val="false"/>
          <w:caps w:val="false"/>
          <w:smallCaps w:val="false"/>
          <w:sz w:val="20"/>
        </w:rPr>
        <w:t xml:space="preserve">”) Fast Automated Securities Transfer Program </w:t>
      </w:r>
      <w:r>
        <w:rPr>
          <w:rFonts w:ascii="Times New Roman;Times;Serif" w:hAnsi="Times New Roman;Times;Serif"/>
          <w:b w:val="false"/>
          <w:i w:val="false"/>
          <w:caps w:val="false"/>
          <w:smallCaps w:val="false"/>
          <w:sz w:val="20"/>
          <w:shd w:fill="FFFFFF" w:val="clear"/>
        </w:rPr>
        <w:t>and (A) the applicable Conversion Shares are subject to an effective resale registration statement in favor of the Holder or (B) if converted at a time when Rule 144 would be available for resale of the applicable Conversion Shares by the Holder</w:t>
      </w:r>
      <w:r>
        <w:rPr>
          <w:rFonts w:ascii="Times New Roman;Times;Serif" w:hAnsi="Times New Roman;Times;Serif"/>
          <w:b w:val="false"/>
          <w:i w:val="false"/>
          <w:caps w:val="false"/>
          <w:smallCaps w:val="false"/>
          <w:sz w:val="20"/>
        </w:rPr>
        <w:t xml:space="preserve">, credit such aggregate number of Conversion Shares to which the Holder is entitled pursuant to such conversion to the Holder’s or its designee’s balance account with DTC through its Deposit / Withdrawal At Custodian system, or (y) if (A) the Transfer Agent is not participating in the DTC Fast Automated Securities Transfer Program </w:t>
      </w:r>
      <w:r>
        <w:rPr>
          <w:rFonts w:ascii="Times New Roman;Times;Serif" w:hAnsi="Times New Roman;Times;Serif"/>
          <w:b w:val="false"/>
          <w:i w:val="false"/>
          <w:caps w:val="false"/>
          <w:smallCaps w:val="false"/>
          <w:sz w:val="20"/>
          <w:shd w:fill="FFFFFF" w:val="clear"/>
        </w:rPr>
        <w:t>or (B) the applicable Conversion Shares are not subject to an effective resale registration statement in favor of the Holder and, if converted at a time when Rule 144 would not be available for resale of the applicable Conversion Shares by the Holder</w:t>
      </w:r>
      <w:r>
        <w:rPr>
          <w:rFonts w:ascii="Times New Roman;Times;Serif" w:hAnsi="Times New Roman;Times;Serif"/>
          <w:b w:val="false"/>
          <w:i w:val="false"/>
          <w:caps w:val="false"/>
          <w:smallCaps w:val="false"/>
          <w:sz w:val="20"/>
        </w:rPr>
        <w:t>, issue and deliver to the address as specified in the Conversion Notice, a certificate, registered in the name of the Holder or its designee, for the number of shares of Common Stock to which the Holder shall be entitled. If this Note is physically surrendered for conversion as required by Section 3(c)(iii) and the outstanding Principal of this Note is greater than the Principal portion of the Conversion Amount being converted, then the Company shall as soon as practicable and in no event later than two (2) Business Days after delivery of this Note and at its own expense, issue and deliver to the Holder a new Note (in accordance with Section 17(d)) representing the outstanding Principal not converted. The Person or Persons entitled to receive the shares of Common Stock issuable upon a conversion of this Note shall be treated for all purposes as the record holder or holders of such shares of Common Stock on the applicable Conversion Date, irrespective of the date such Conversion Shares are credited to the Holder’s account with DTC or the date of delivery of the certificates evidencing such Conversion Shares, as the case may be. The Company’s obligations to issue and deliver shares of Common Stock in accordance with the terms and subject to the conditions hereof are absolute and unconditional, irrespective of any action or inaction by the Holder to enforce the same, any waiver or consent with respect to any provision hereof, the recovery of any judgment against any Person or any action to enforce the same, or any setoff, counterclaim, recoupment, limitation or termination. While any Notes are outstanding, the Company shall use a transfer agent that participates in the DTC Fast Automated Securities Transfer Program.</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- 3 -</w:t>
      </w:r>
    </w:p>
    <w:p>
      <w:pPr>
        <w:pStyle w:val="TextBody"/>
        <w:bidi w:val="0"/>
        <w:spacing w:before="0" w:after="0"/>
        <w:jc w:val="center"/>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Company’s Failure to Timely Convert</w:t>
      </w:r>
      <w:r>
        <w:rPr>
          <w:rFonts w:ascii="Times New Roman;Times;Serif" w:hAnsi="Times New Roman;Times;Serif"/>
          <w:b w:val="false"/>
          <w:i w:val="false"/>
          <w:caps w:val="false"/>
          <w:smallCaps w:val="false"/>
          <w:sz w:val="20"/>
        </w:rPr>
        <w:t xml:space="preserve">. If the Company shall fail, for any reason or no reason, on or prior to the applicable Share Delivery Date to issue and deliver a certificate to the Holder, if the Transfer Agent is not participating in the DTC Fast Automated Securities Transfer Program or if converted, at a time when the </w:t>
      </w:r>
      <w:r>
        <w:rPr>
          <w:rFonts w:ascii="Times New Roman;Times;Serif" w:hAnsi="Times New Roman;Times;Serif"/>
          <w:b w:val="false"/>
          <w:i w:val="false"/>
          <w:caps w:val="false"/>
          <w:smallCaps w:val="false"/>
          <w:sz w:val="20"/>
          <w:shd w:fill="FFFFFF" w:val="clear"/>
        </w:rPr>
        <w:t xml:space="preserve">applicable </w:t>
      </w:r>
      <w:r>
        <w:rPr>
          <w:rFonts w:ascii="Times New Roman;Times;Serif" w:hAnsi="Times New Roman;Times;Serif"/>
          <w:b w:val="false"/>
          <w:i w:val="false"/>
          <w:caps w:val="false"/>
          <w:smallCaps w:val="false"/>
          <w:sz w:val="20"/>
        </w:rPr>
        <w:t xml:space="preserve">Conversion Shares are not subject to an effective resale registration statement in favor of the Holder and Rule 144 would not be available for resale of the </w:t>
      </w:r>
      <w:r>
        <w:rPr>
          <w:rFonts w:ascii="Times New Roman;Times;Serif" w:hAnsi="Times New Roman;Times;Serif"/>
          <w:b w:val="false"/>
          <w:i w:val="false"/>
          <w:caps w:val="false"/>
          <w:smallCaps w:val="false"/>
          <w:sz w:val="20"/>
          <w:shd w:fill="FFFFFF" w:val="clear"/>
        </w:rPr>
        <w:t>applicable</w:t>
      </w:r>
      <w:r>
        <w:rPr>
          <w:rFonts w:ascii="Times New Roman;Times;Serif" w:hAnsi="Times New Roman;Times;Serif"/>
          <w:b w:val="false"/>
          <w:i w:val="false"/>
          <w:caps w:val="false"/>
          <w:smallCaps w:val="false"/>
          <w:sz w:val="20"/>
        </w:rPr>
        <w:t xml:space="preserve"> Conversion Shares by the Holder, or credit the Holder’s balance account with DTC, if the Transfer Agent is participating in the DTC Fast Automated Securities Transfer Program and (a) the </w:t>
      </w:r>
      <w:r>
        <w:rPr>
          <w:rFonts w:ascii="Times New Roman;Times;Serif" w:hAnsi="Times New Roman;Times;Serif"/>
          <w:b w:val="false"/>
          <w:i w:val="false"/>
          <w:caps w:val="false"/>
          <w:smallCaps w:val="false"/>
          <w:sz w:val="20"/>
          <w:shd w:fill="FFFFFF" w:val="clear"/>
        </w:rPr>
        <w:t xml:space="preserve">applicable </w:t>
      </w:r>
      <w:r>
        <w:rPr>
          <w:rFonts w:ascii="Times New Roman;Times;Serif" w:hAnsi="Times New Roman;Times;Serif"/>
          <w:b w:val="false"/>
          <w:i w:val="false"/>
          <w:caps w:val="false"/>
          <w:smallCaps w:val="false"/>
          <w:sz w:val="20"/>
        </w:rPr>
        <w:t xml:space="preserve">Conversion Shares are subject to an effective resale registration statement in favor of the Holder or (b) if converted at a time when Rule 144 would be available for resale of the </w:t>
      </w:r>
      <w:r>
        <w:rPr>
          <w:rFonts w:ascii="Times New Roman;Times;Serif" w:hAnsi="Times New Roman;Times;Serif"/>
          <w:b w:val="false"/>
          <w:i w:val="false"/>
          <w:caps w:val="false"/>
          <w:smallCaps w:val="false"/>
          <w:sz w:val="20"/>
          <w:shd w:fill="FFFFFF" w:val="clear"/>
        </w:rPr>
        <w:t>applicable</w:t>
      </w:r>
      <w:r>
        <w:rPr>
          <w:rFonts w:ascii="Times New Roman;Times;Serif" w:hAnsi="Times New Roman;Times;Serif"/>
          <w:b w:val="false"/>
          <w:i w:val="false"/>
          <w:caps w:val="false"/>
          <w:smallCaps w:val="false"/>
          <w:sz w:val="20"/>
        </w:rPr>
        <w:t xml:space="preserve"> Conversion Shares by the Holder, for the number of shares of Common Stock to which the Holder is entitled upon the Holder’s conversion of any Conversion Amount (a “</w:t>
      </w:r>
      <w:r>
        <w:rPr>
          <w:rFonts w:ascii="Times New Roman;Times;Serif" w:hAnsi="Times New Roman;Times;Serif"/>
          <w:b/>
          <w:i w:val="false"/>
          <w:caps w:val="false"/>
          <w:smallCaps w:val="false"/>
          <w:sz w:val="20"/>
        </w:rPr>
        <w:t>Conversion Failure</w:t>
      </w:r>
      <w:r>
        <w:rPr>
          <w:rFonts w:ascii="Times New Roman;Times;Serif" w:hAnsi="Times New Roman;Times;Serif"/>
          <w:b w:val="false"/>
          <w:i w:val="false"/>
          <w:caps w:val="false"/>
          <w:smallCaps w:val="false"/>
          <w:sz w:val="20"/>
        </w:rPr>
        <w:t xml:space="preserve">”), then (A) the Company shall pay cash to the Holder for each Trading Day after the applicable Share Delivery Date of such Conversion Failure in an amount equal to, for each US$1,000 of Principal amount of this Note subject to such conversion (based on the VWAP of the Common Stock on the date of the applicable Conversion Notice), US$10 per Trading Day for the first and second Trading Day after such Share Delivery Date, and US$20 per Trading Day for each Trading Day thereafter, in each case continuing until such Conversion Shares are delivered to the Holder or the Holder rescinds such conversion, and (B) the Holder, upon written notice to the Company, may rescind its Conversion Notice with respect to, and retain or have returned, as the case may be, any portion of this Note that has not been converted pursuant to such Conversion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rescission of a Conversion Notice shall not affect the Company’s obligations to make any payments which have accrued prior to the date of such notice pursuant to this Section 3(c)(ii) or otherwise. In addition to the foregoing, if the Company shall fail on or prior to the applicable Share Delivery Date to issue and deliver a certificate to the Holder if (A) the Transfer Agent is not participating in the DTC Fast Automated Securities Transfer Program </w:t>
      </w:r>
      <w:r>
        <w:rPr>
          <w:rFonts w:ascii="Times New Roman;Times;Serif" w:hAnsi="Times New Roman;Times;Serif"/>
          <w:b w:val="false"/>
          <w:i w:val="false"/>
          <w:caps w:val="false"/>
          <w:smallCaps w:val="false"/>
          <w:sz w:val="20"/>
          <w:shd w:fill="FFFFFF" w:val="clear"/>
        </w:rPr>
        <w:t>or (B) the applicable Conversion Shares are not subject to an effective resale registration statement in favor of the Holder and, if converted at a time when Rule 144 would not be available for resale of the applicable Conversion Shares by the Holder</w:t>
      </w:r>
      <w:r>
        <w:rPr>
          <w:rFonts w:ascii="Times New Roman;Times;Serif" w:hAnsi="Times New Roman;Times;Serif"/>
          <w:b w:val="false"/>
          <w:i w:val="false"/>
          <w:caps w:val="false"/>
          <w:smallCaps w:val="false"/>
          <w:sz w:val="20"/>
        </w:rPr>
        <w:t xml:space="preserve">, or credit the Holder’s balance account with DTC if the Transfer Agent is participating in the DTC Fast Automated Securities Transfer Program </w:t>
      </w:r>
      <w:r>
        <w:rPr>
          <w:rFonts w:ascii="Times New Roman;Times;Serif" w:hAnsi="Times New Roman;Times;Serif"/>
          <w:b w:val="false"/>
          <w:i w:val="false"/>
          <w:caps w:val="false"/>
          <w:smallCaps w:val="false"/>
          <w:sz w:val="20"/>
          <w:shd w:fill="FFFFFF" w:val="clear"/>
        </w:rPr>
        <w:t>and (A) the applicable Conversion Shares are subject to an effective resale registration statement in favor of the Holder or (B) if converted at a time when Rule 144 would be available for resale of the applicable Conversion Shares by the Holder</w:t>
      </w:r>
      <w:r>
        <w:rPr>
          <w:rFonts w:ascii="Times New Roman;Times;Serif" w:hAnsi="Times New Roman;Times;Serif"/>
          <w:b w:val="false"/>
          <w:i w:val="false"/>
          <w:caps w:val="false"/>
          <w:smallCaps w:val="false"/>
          <w:sz w:val="20"/>
        </w:rPr>
        <w:t>, for the number of shares of Common Stock to which the Holder is entitled upon the Holder’s conversion of any Conversion Amount or on any date of the Company’s obligation to deliver shares of Common Stock as contemplated pursuant to clause (y) below, and if on or after such Trading Day the Holder purchases (in an open market transaction or otherwise) Common Stock to deliver in satisfaction of a sale by the Holder of Common Stock issuable upon such conversion that the Holder anticipated receiving from the Company (a “</w:t>
      </w:r>
      <w:r>
        <w:rPr>
          <w:rFonts w:ascii="Times New Roman;Times;Serif" w:hAnsi="Times New Roman;Times;Serif"/>
          <w:b/>
          <w:i w:val="false"/>
          <w:caps w:val="false"/>
          <w:smallCaps w:val="false"/>
          <w:sz w:val="20"/>
        </w:rPr>
        <w:t>Buy-In</w:t>
      </w:r>
      <w:r>
        <w:rPr>
          <w:rFonts w:ascii="Times New Roman;Times;Serif" w:hAnsi="Times New Roman;Times;Serif"/>
          <w:b w:val="false"/>
          <w:i w:val="false"/>
          <w:caps w:val="false"/>
          <w:smallCaps w:val="false"/>
          <w:sz w:val="20"/>
        </w:rPr>
        <w:t>”), then the Company shall, within two (2) Trading Days after the Holder’s request and in the Holder’s discretion, either (x) pay cash to the Holder in an amount equal to the Holder’s total purchase price (including brokerage commissions and other out-of-pocket expenses, if any) for the shares of Common Stock so purchased (the “</w:t>
      </w:r>
      <w:r>
        <w:rPr>
          <w:rFonts w:ascii="Times New Roman;Times;Serif" w:hAnsi="Times New Roman;Times;Serif"/>
          <w:b/>
          <w:i w:val="false"/>
          <w:caps w:val="false"/>
          <w:smallCaps w:val="false"/>
          <w:sz w:val="20"/>
        </w:rPr>
        <w:t>Buy-In Price</w:t>
      </w:r>
      <w:r>
        <w:rPr>
          <w:rFonts w:ascii="Times New Roman;Times;Serif" w:hAnsi="Times New Roman;Times;Serif"/>
          <w:b w:val="false"/>
          <w:i w:val="false"/>
          <w:caps w:val="false"/>
          <w:smallCaps w:val="false"/>
          <w:sz w:val="20"/>
        </w:rPr>
        <w:t xml:space="preserve">”), at which point the Company’s obligation to issue and deliver such certificate or credit the Holder’s balance account with DTC for the shares of Common Stock to which the Holder is entitled upon the Holder’s conversion of the applicable Conversion Amount shall terminate, or (y) promptly honor its obligation to deliver to the Holder a certificate or certificates representing such shares of Common Stock or credit the Holder’s balance account with DTC for such shares of Common Stock and pay cash to the Holder in an amount equal to the excess (if any) of the Buy-In Price over the product of (A) such number of shares of Common Stock, times (B) any trading price of the Common Stock selected by the Holder in writing as in effect at any time during the period beginning on the applicable Conversion Date and ending on the applicable Share Delivery Date. </w:t>
      </w:r>
      <w:r>
        <w:rPr>
          <w:rFonts w:ascii="Times New Roman;Times;Serif" w:hAnsi="Times New Roman;Times;Serif"/>
          <w:b w:val="false"/>
          <w:i w:val="false"/>
          <w:caps w:val="false"/>
          <w:smallCaps w:val="false"/>
          <w:sz w:val="20"/>
          <w:shd w:fill="FFFFFF" w:val="clear"/>
        </w:rPr>
        <w:t>Nothing herein shall limit the Holder’s right to pursue any other remedies available to it hereunder, at law or in equity including, without limitation, a decree of specific performance and/or injunctive relief with respect to the Company’s failure to timely deliver certificates representing shares of Common Stock (or to electronically deliver such shares of Common Stock) upon conversion of this Note as required pursuant to the terms hereof.</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- 4 -</w:t>
      </w:r>
    </w:p>
    <w:p>
      <w:pPr>
        <w:pStyle w:val="TextBody"/>
        <w:bidi w:val="0"/>
        <w:spacing w:before="0" w:after="0"/>
        <w:jc w:val="center"/>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Registration; Book-Entry</w:t>
      </w:r>
      <w:r>
        <w:rPr>
          <w:rFonts w:ascii="Times New Roman;Times;Serif" w:hAnsi="Times New Roman;Times;Serif"/>
          <w:b w:val="false"/>
          <w:i w:val="false"/>
          <w:caps w:val="false"/>
          <w:smallCaps w:val="false"/>
          <w:sz w:val="20"/>
        </w:rPr>
        <w:t>. The Company shall maintain a register (the “</w:t>
      </w:r>
      <w:r>
        <w:rPr>
          <w:rFonts w:ascii="Times New Roman;Times;Serif" w:hAnsi="Times New Roman;Times;Serif"/>
          <w:b/>
          <w:i w:val="false"/>
          <w:caps w:val="false"/>
          <w:smallCaps w:val="false"/>
          <w:sz w:val="20"/>
        </w:rPr>
        <w:t>Register</w:t>
      </w:r>
      <w:r>
        <w:rPr>
          <w:rFonts w:ascii="Times New Roman;Times;Serif" w:hAnsi="Times New Roman;Times;Serif"/>
          <w:b w:val="false"/>
          <w:i w:val="false"/>
          <w:caps w:val="false"/>
          <w:smallCaps w:val="false"/>
          <w:sz w:val="20"/>
        </w:rPr>
        <w:t>”) for the recordation of the names and addresses of the holders of each Note and the Principal amount of the Notes (and stated interest thereon) held by such holders (the “</w:t>
      </w:r>
      <w:r>
        <w:rPr>
          <w:rFonts w:ascii="Times New Roman;Times;Serif" w:hAnsi="Times New Roman;Times;Serif"/>
          <w:b/>
          <w:i w:val="false"/>
          <w:caps w:val="false"/>
          <w:smallCaps w:val="false"/>
          <w:sz w:val="20"/>
        </w:rPr>
        <w:t>Registered Notes</w:t>
      </w:r>
      <w:r>
        <w:rPr>
          <w:rFonts w:ascii="Times New Roman;Times;Serif" w:hAnsi="Times New Roman;Times;Serif"/>
          <w:b w:val="false"/>
          <w:i w:val="false"/>
          <w:caps w:val="false"/>
          <w:smallCaps w:val="false"/>
          <w:sz w:val="20"/>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the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17. Notwithstanding anything to the contrary in this Section 3(c)(iii), the Holder may assign any Note or any portion thereof to an Affiliate of the Holder or a Related Fund of the Holder without delivering a request to assign or sell the Note to the Company and the recordation of such assignment or sale in the Register (a “</w:t>
      </w:r>
      <w:r>
        <w:rPr>
          <w:rFonts w:ascii="Times New Roman;Times;Serif" w:hAnsi="Times New Roman;Times;Serif"/>
          <w:b/>
          <w:i w:val="false"/>
          <w:caps w:val="false"/>
          <w:smallCaps w:val="false"/>
          <w:sz w:val="20"/>
        </w:rPr>
        <w:t>Related Party Assignment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(x) the Company may continue to deal solely with such assigning or selling Holder unless and until the Holder has delivered a request to assign or sell the Note or portion thereof to the Company for recordation in the Register; (y) the failure of such assigning or selling Holder to deliver a request to assign or sell the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Times New Roman;Times;Serif" w:hAnsi="Times New Roman;Times;Serif"/>
          <w:b/>
          <w:i w:val="false"/>
          <w:caps w:val="false"/>
          <w:smallCaps w:val="false"/>
          <w:sz w:val="20"/>
        </w:rPr>
        <w:t>Related Party Register</w:t>
      </w:r>
      <w:r>
        <w:rPr>
          <w:rFonts w:ascii="Times New Roman;Times;Serif" w:hAnsi="Times New Roman;Times;Serif"/>
          <w:b w:val="false"/>
          <w:i w:val="false"/>
          <w:caps w:val="false"/>
          <w:smallCaps w:val="false"/>
          <w:sz w:val="20"/>
        </w:rPr>
        <w:t>”) comparable to the Register on behalf of the Company, and any such assignment or sale shall be effective upon recordation of such assignment or sale in the Related Party Register. Notwithstanding anything to the contrary set forth herein, upon conversion of any portion of this Note in accordance with the terms hereof, the Holder shall not be required to physically surrender this Note to the Company unless (A) the full Conversion Amount represented by this Note is being converted or (B) the Holder has provided the Company with prior written notice (which notice may be included in a Conversion Notice) requesting reissuance of this Note upon physical surrender of this Note. The Holder and the Company shall maintain records showing the Principal, Interest and Late Charges, if any, converted and/or paid (as the case may be) and the dates of such conversions, and/or payments (as the case may be) or shall use such other method, reasonably satisfactory to the Holder and the Company, so as not to require physical surrender of this Note upon conversion. If the Company does not update the Register to record such Principal, Interest and Late Charges converted and/or paid (as the case may be) and the dates of such conversions and/or payments (as the case may be) within two (2) Business Days of such occurrence, then the Register shall be automatically deemed updated to reflect such occurrence.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Pro Rata Conversion; Disputes</w:t>
      </w:r>
      <w:r>
        <w:rPr>
          <w:rFonts w:ascii="Times New Roman;Times;Serif" w:hAnsi="Times New Roman;Times;Serif"/>
          <w:b w:val="false"/>
          <w:i w:val="false"/>
          <w:caps w:val="false"/>
          <w:smallCaps w:val="false"/>
          <w:sz w:val="20"/>
        </w:rPr>
        <w:t>. In the event that the Company receives a Conversion Notice from the Holder and one or more holder of Other Notes for the same Conversion Date and the Company can convert some, but not all, of such portions of this Note and/or the Other Notes submitted for conversion, the Company, subject to Section 3(d), shall convert from the Holder and each holder of Other Notes electing to have Notes converted on such date, a pro rata amount of such holder’s portion of the Note and its Other Notes submitted for conversion based on the Principal amount of this Note and principal amounts of the Other Notes submitted for conversion on such date by such holder relative to the aggregate Principal amount of this Note and all Other Notes submitted for conversion on such date. In the event of a dispute as to the number of shares of Common Stock issuable to the Holder in connection with a conversion of this Note, the Company shall issue to the Holder the number of shares of Common Stock not in dispute and resolve such dispute in accordance with Section 22.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- 5 -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Beneficial Ownership Conversion Limitations</w:t>
      </w:r>
      <w:r>
        <w:rPr>
          <w:rFonts w:ascii="Times New Roman;Times;Serif" w:hAnsi="Times New Roman;Times;Serif"/>
          <w:b w:val="false"/>
          <w:i w:val="false"/>
          <w:caps w:val="false"/>
          <w:smallCaps w:val="false"/>
          <w:sz w:val="20"/>
        </w:rPr>
        <w:t>. Notwithstanding anything to the contrary contained herein, the Company shall not issue any shares of Common Stock pursuant to the terms of this Note, and the Holder shall not have the right to any shares of Common Stock otherwise issuable pursuant to the terms and conditions of this Note and any such issuance shall be null and void and treated as if never made, to the extent that after giving effect to such issuance, the Holder together with the other Attribution Parties collectively would beneficially own in excess of 4.99% (the “</w:t>
      </w:r>
      <w:r>
        <w:rPr>
          <w:rFonts w:ascii="Times New Roman;Times;Serif" w:hAnsi="Times New Roman;Times;Serif"/>
          <w:b/>
          <w:i w:val="false"/>
          <w:caps w:val="false"/>
          <w:smallCaps w:val="false"/>
          <w:sz w:val="20"/>
        </w:rPr>
        <w:t>Maximum Percentage</w:t>
      </w:r>
      <w:r>
        <w:rPr>
          <w:rFonts w:ascii="Times New Roman;Times;Serif" w:hAnsi="Times New Roman;Times;Serif"/>
          <w:b w:val="false"/>
          <w:i w:val="false"/>
          <w:caps w:val="false"/>
          <w:smallCaps w:val="false"/>
          <w:sz w:val="20"/>
        </w:rPr>
        <w:t>”) of the number of shares of Common Stock outstanding immediately after giving effect to such issuance. For purposes of the foregoing sentence, the aggregate number of shares of Common Stock beneficially owned by the Holder and the other Attribution Parties shall include the number of shares of Common Stock held by the Holder and all other Attribution Parties plus the number of shares of Common Stock issuable pursuant to the terms of this Note with respect to which the determination of such sentence is being made, but shall exclude the number of shares of Common Stock which would be issuable (i) pursuant to the terms of the remaining, nonconverted portion of this Note beneficially owned by the Holder or any of the other Attribution Parties and (ii) upon exercise or conversion of the unexercised or nonconverted portion of any other securities of the Company (including, without limitation, any convertible notes or convertible preferred stock or warrants, including the Other Notes) beneficially owned by the Holder or any other Attribution Party subject to a limitation on conversion or exercise analogous to the limitation contained in this Section 3(d). For purposes of this Section 3(d), beneficial ownership shall be calculated in accordance with Section 13(d) of the Exchange Act. For purposes of determining the number of outstanding shares of Common Stock the Holder may acquire pursuant to the terms of the Note without exceeding the Maximum Percentage, the Holder may rely on the number of outstanding shares of Common Stock as reflected in (i) the Company’s most recent Annual Report on Form 10-K, Quarterly Report on Form 10-Q, Current Report on Form 8-K or other public filing with the SEC, as the case may be, (ii) a more recent public announcement by the Company or (iii) any other written notice by the Company or the Transfer Agent setting forth the number of shares of Common Stock outstanding (the “</w:t>
      </w:r>
      <w:r>
        <w:rPr>
          <w:rFonts w:ascii="Times New Roman;Times;Serif" w:hAnsi="Times New Roman;Times;Serif"/>
          <w:b/>
          <w:i w:val="false"/>
          <w:caps w:val="false"/>
          <w:smallCaps w:val="false"/>
          <w:sz w:val="20"/>
        </w:rPr>
        <w:t>Reported Outstanding Share Number</w:t>
      </w:r>
      <w:r>
        <w:rPr>
          <w:rFonts w:ascii="Times New Roman;Times;Serif" w:hAnsi="Times New Roman;Times;Serif"/>
          <w:b w:val="false"/>
          <w:i w:val="false"/>
          <w:caps w:val="false"/>
          <w:smallCaps w:val="false"/>
          <w:sz w:val="20"/>
        </w:rPr>
        <w:t>”). If the Company receives a Conversion Notice from the Holder at a time when the actual number of outstanding shares of Common Stock is less than the Reported Outstanding Share Number, the Company shall notify the Holder in writing of the number of shares of Common Stock then outstanding and, to the extent that such Conversion Notice would otherwise cause the Holder’s beneficial ownership, as determined pursuant to this Section 3(d), to exceed the Maximum Percentage, the Holder shall notify the Company of a reduced number of shares of Common Stock to be purchased pursuant to such Conversion Notice. For any reason at any time, upon the written or oral request of the Holder, the Company shall within one (1) Trading Day confirm orally and in writing or by electronic mail to the Holder the number of shares of Common Stock then outstanding. In any case, the number of outstanding shares of Common Stock shall be determined after giving effect to the conversion or exercise of securities of the Company, including this Note, by the Holder and any other Attribution Party since the date as of which the Reported Outstanding Share Number was reported. In the event that the issuance of shares of Common Stock to the Holder upon conversion of this Note would result in the Holder and the other Attribution Parties being deemed to beneficially own, in the aggregate, more than the Maximum Percentage of the number of outstanding shares of Common Stock (as determined under Section 13(d) of the Exchange Act), the number of shares so issued by which the Holder’s and the other Attribution Parties’ aggregate beneficial ownership would exceed the Maximum Percentage (the “</w:t>
      </w:r>
      <w:r>
        <w:rPr>
          <w:rFonts w:ascii="Times New Roman;Times;Serif" w:hAnsi="Times New Roman;Times;Serif"/>
          <w:b/>
          <w:i w:val="false"/>
          <w:caps w:val="false"/>
          <w:smallCaps w:val="false"/>
          <w:sz w:val="20"/>
        </w:rPr>
        <w:t>Excess Shares</w:t>
      </w:r>
      <w:r>
        <w:rPr>
          <w:rFonts w:ascii="Times New Roman;Times;Serif" w:hAnsi="Times New Roman;Times;Serif"/>
          <w:b w:val="false"/>
          <w:i w:val="false"/>
          <w:caps w:val="false"/>
          <w:smallCaps w:val="false"/>
          <w:sz w:val="20"/>
        </w:rPr>
        <w:t>”) shall be deemed null and void and shall be cancelled ab initio and any portion of the Conversion Amount so converted shall be reinstated, and the Holder shall not have the power to vote or to transfer the Excess Shares. Upon delivery of a written notice to the Company, the Holder may from time to time increase or decrease the Maximum Percentage to any other percentage not in excess of 9.99% as specified in such notice; provided that (i) any such increase in the Maximum Percentage will not be effective until the sixty-first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day after such notice is delivered to the Company and (ii) any such increase or decrease will apply only to the Holder and the other Attribution Parties and not to any other holder of Notes that is not an Attribution Party of the Holder. For purposes of clarity, the shares of Common Stock issuable pursuant to the terms of this Note in excess of the Maximum Percentage shall not be deemed to be beneficially owned by the Holder for any purpose including for purposes of Section 13(d) or Rule 16a-1(a)(1) of the Exchange Act. The provisions of this paragraph shall be construed and implemented in a manner otherwise than in strict conformity with the terms of this Section 3(d) to the extent necessary to correct this paragraph (or any portion of this paragraph) which may be defective or inconsistent with the intended beneficial ownership limitation contained in this Section 3(d) or to make changes or supplements necessary or desirable to properly give effect to such limitation. The limitation contained in this paragraph may not be waived and shall apply to a successor holder of this Note.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- 6 -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Nasdaq Conversion Limitation</w:t>
      </w:r>
      <w:r>
        <w:rPr>
          <w:rFonts w:ascii="Times New Roman;Times;Serif" w:hAnsi="Times New Roman;Times;Serif"/>
          <w:b w:val="false"/>
          <w:i w:val="false"/>
          <w:caps w:val="false"/>
          <w:smallCaps w:val="false"/>
          <w:sz w:val="20"/>
        </w:rPr>
        <w:t>. Notwithstanding anything to the contrary contained herein, prior to the receipt of Stockholder Approval (as defined below), the Company shall not issue, and the Holder shall not be entitled to receive, any shares of Common Stock pursuant to the terms of this Note to the extent that the aggregate number of (i) shares of Common Stock issued or issuable to the Holder upon conversion of this Note plus (ii) Commitment Shares (as defined in the Purchase Agreement) issued or issuable to the Holder would exceed the Holder’s Nasdaq Cap (as defined below). For purposes hereof: (A) “</w:t>
      </w:r>
      <w:r>
        <w:rPr>
          <w:rFonts w:ascii="Times New Roman;Times;Serif" w:hAnsi="Times New Roman;Times;Serif"/>
          <w:b/>
          <w:i w:val="false"/>
          <w:caps w:val="false"/>
          <w:smallCaps w:val="false"/>
          <w:sz w:val="20"/>
        </w:rPr>
        <w:t>Nasdaq Cap</w:t>
      </w:r>
      <w:r>
        <w:rPr>
          <w:rFonts w:ascii="Times New Roman;Times;Serif" w:hAnsi="Times New Roman;Times;Serif"/>
          <w:b w:val="false"/>
          <w:i w:val="false"/>
          <w:caps w:val="false"/>
          <w:smallCaps w:val="false"/>
          <w:sz w:val="20"/>
        </w:rPr>
        <w:t>” means 19.99% of the total number of shares of Common Stock outstanding as of the date of the Purchase Agreement (the “</w:t>
      </w:r>
      <w:r>
        <w:rPr>
          <w:rFonts w:ascii="Times New Roman;Times;Serif" w:hAnsi="Times New Roman;Times;Serif"/>
          <w:b/>
          <w:i w:val="false"/>
          <w:caps w:val="false"/>
          <w:smallCaps w:val="false"/>
          <w:sz w:val="20"/>
        </w:rPr>
        <w:t>Signing Date Share Count</w:t>
      </w:r>
      <w:r>
        <w:rPr>
          <w:rFonts w:ascii="Times New Roman;Times;Serif" w:hAnsi="Times New Roman;Times;Serif"/>
          <w:b w:val="false"/>
          <w:i w:val="false"/>
          <w:caps w:val="false"/>
          <w:smallCaps w:val="false"/>
          <w:sz w:val="20"/>
        </w:rPr>
        <w:t>”); (B) “</w:t>
      </w:r>
      <w:r>
        <w:rPr>
          <w:rFonts w:ascii="Times New Roman;Times;Serif" w:hAnsi="Times New Roman;Times;Serif"/>
          <w:b/>
          <w:i w:val="false"/>
          <w:caps w:val="false"/>
          <w:smallCaps w:val="false"/>
          <w:sz w:val="20"/>
        </w:rPr>
        <w:t>Holder’s Nasdaq Cap</w:t>
      </w:r>
      <w:r>
        <w:rPr>
          <w:rFonts w:ascii="Times New Roman;Times;Serif" w:hAnsi="Times New Roman;Times;Serif"/>
          <w:b w:val="false"/>
          <w:i w:val="false"/>
          <w:caps w:val="false"/>
          <w:smallCaps w:val="false"/>
          <w:sz w:val="20"/>
        </w:rPr>
        <w:t>” means the number of shares of Common Stock equal to the product of (x) the Nasdaq Cap multiplied by (y) the Pro Rata Amount; and (C) “</w:t>
      </w:r>
      <w:r>
        <w:rPr>
          <w:rFonts w:ascii="Times New Roman;Times;Serif" w:hAnsi="Times New Roman;Times;Serif"/>
          <w:b/>
          <w:i w:val="false"/>
          <w:caps w:val="false"/>
          <w:smallCaps w:val="false"/>
          <w:sz w:val="20"/>
        </w:rPr>
        <w:t>Stockholder Approval</w:t>
      </w:r>
      <w:r>
        <w:rPr>
          <w:rFonts w:ascii="Times New Roman;Times;Serif" w:hAnsi="Times New Roman;Times;Serif"/>
          <w:b w:val="false"/>
          <w:i w:val="false"/>
          <w:caps w:val="false"/>
          <w:smallCaps w:val="false"/>
          <w:sz w:val="20"/>
        </w:rPr>
        <w:t>” means the approval by the Company’s stockholders of the issuance of shares of Common Stock pursuant to the Notes in accordance with Nasdaq Listing Rule 5635. Any portion of a requested conversion that would cause the aggregate issuances to the Holder to exceed the Holder’s Nasdaq Cap shall be null and void to the extent of such excess, and the applicable Conversion Amount shall be reinstated. The limitation set forth in this Section 3(e) constitutes a separate contractual right granted by the Company to this Holder individually, independent of the rights of each other holder of Notes, and shall not in any way be construed as the holders of Notes acting in concert or as a Group with respect to the purchase, disposition or voting of securities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RIGHTS UPON EVENT OF DEFAULT</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Event of Default</w:t>
      </w:r>
      <w:r>
        <w:rPr>
          <w:rFonts w:ascii="Times New Roman;Times;Serif" w:hAnsi="Times New Roman;Times;Serif"/>
          <w:b w:val="false"/>
          <w:i w:val="false"/>
          <w:caps w:val="false"/>
          <w:smallCaps w:val="false"/>
          <w:sz w:val="20"/>
        </w:rPr>
        <w:t>. The occurrence and continuance of each of the following events or failure to comply therewith shall constitute an “</w:t>
      </w:r>
      <w:r>
        <w:rPr>
          <w:rFonts w:ascii="Times New Roman;Times;Serif" w:hAnsi="Times New Roman;Times;Serif"/>
          <w:b/>
          <w:i w:val="false"/>
          <w:caps w:val="false"/>
          <w:smallCaps w:val="false"/>
          <w:sz w:val="20"/>
        </w:rPr>
        <w:t>Event of Default</w:t>
      </w:r>
      <w:r>
        <w:rPr>
          <w:rFonts w:ascii="Times New Roman;Times;Serif" w:hAnsi="Times New Roman;Times;Serif"/>
          <w:b w:val="false"/>
          <w:i w:val="false"/>
          <w:caps w:val="false"/>
          <w:smallCaps w:val="false"/>
          <w:sz w:val="20"/>
        </w:rPr>
        <w:t>” and each of the events described in clauses (vii) and (viii) shall also constitute a “</w:t>
      </w:r>
      <w:r>
        <w:rPr>
          <w:rFonts w:ascii="Times New Roman;Times;Serif" w:hAnsi="Times New Roman;Times;Serif"/>
          <w:b/>
          <w:i w:val="false"/>
          <w:caps w:val="false"/>
          <w:smallCaps w:val="false"/>
          <w:sz w:val="20"/>
        </w:rPr>
        <w:t>Bankruptcy Event of Default</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failure of the applicable Registration Statement required to be filed pursuant to the Registration Rights Agreement to be filed on or prior to the date that is fifteen (15) days after the applicable Filing Date (as defined in the Registration Rights Agreement) or to be declared effective by the SEC on or prior to the date that is thirty (30) days after the applicable Effectiveness Date (as defined in the Registration Rights Agreement), or, while the applicable Registration Statement is required to be maintained effective pursuant to the terms of the Registration Rights Agreement, the effectiveness of the applicable Registration Statement lapses for any reason (including, without limitation, the issuance of a stop order) or is unavailable to any holder of the Notes for sale of all of such holder’s Registrable Instruments in accordance with the terms of the Registration Rights Agreement, and such lapse or unavailability continues for a period of fifteen (15) consecutive days or for more than an aggregate of thirty (30) days in any 365-day period (other than as permitted pursuant to </w:t>
      </w:r>
      <w:r>
        <w:rPr>
          <w:rFonts w:ascii="Times New Roman;Times;Serif" w:hAnsi="Times New Roman;Times;Serif"/>
          <w:b w:val="false"/>
          <w:i w:val="false"/>
          <w:caps w:val="false"/>
          <w:smallCaps w:val="false"/>
          <w:sz w:val="20"/>
          <w:shd w:fill="FFFFFF" w:val="clear"/>
        </w:rPr>
        <w:t>the Registration Rights Agreement)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failure of the Common Stock to be listed on an Eligible Market, or the suspension of the Common Stock from trading on an Eligible Market, in each case unless such failure or suspension is cured within thirty (30) days;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Company’s failure to deliver the required number of shares of Common Stock within five (5) Trading Days after the applicable Conversion Notice;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- 7 -</w:t>
      </w:r>
    </w:p>
    <w:p>
      <w:pPr>
        <w:pStyle w:val="TextBody"/>
        <w:bidi w:val="0"/>
        <w:spacing w:before="0" w:after="0"/>
        <w:jc w:val="center"/>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at any time following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consecutive Business Day that the Holder’s Authorized Share Allocation (as defined in Section 9(a)) is less than the Holder’s Pro Rata Amount of the Required Reserve Amount (as defined in Section 9(a));</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Company’s failure to pay to the Holder any amount of Principal, Interest, Late Charges, Redemption Price or other amounts when and as due under this Note or any other Transaction Document, in which case only if such failure continues for a period of at least an aggregate of ten (10) Business Days;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default under, redemption of or acceleration prior to maturity of any Indebtedness of the Company or any of its Subsidiaries in excess of $250,000 in the aggregate, other than with respect to this Note or any Other Notes;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Company or any of its Subsidiaries, pursuant to or within the meaning of Title 11, U.S. Code, or any similar federal, foreign or state law for the relief of debtors (collectively, “</w:t>
      </w:r>
      <w:r>
        <w:rPr>
          <w:rFonts w:ascii="Times New Roman;Times;Serif" w:hAnsi="Times New Roman;Times;Serif"/>
          <w:b/>
          <w:i w:val="false"/>
          <w:caps w:val="false"/>
          <w:smallCaps w:val="false"/>
          <w:sz w:val="20"/>
        </w:rPr>
        <w:t>Bankruptcy Law</w:t>
      </w:r>
      <w:r>
        <w:rPr>
          <w:rFonts w:ascii="Times New Roman;Times;Serif" w:hAnsi="Times New Roman;Times;Serif"/>
          <w:b w:val="false"/>
          <w:i w:val="false"/>
          <w:caps w:val="false"/>
          <w:smallCaps w:val="false"/>
          <w:sz w:val="20"/>
        </w:rPr>
        <w:t>”), (A) commences a bankruptcy voluntary case, (B) consents to the entry of an order for relief against it in an involuntary bankruptcy case, (C) consents to the appointment of a receiver, trustee, assignee, liquidator or similar official (a “</w:t>
      </w:r>
      <w:r>
        <w:rPr>
          <w:rFonts w:ascii="Times New Roman;Times;Serif" w:hAnsi="Times New Roman;Times;Serif"/>
          <w:b/>
          <w:i w:val="false"/>
          <w:caps w:val="false"/>
          <w:smallCaps w:val="false"/>
          <w:sz w:val="20"/>
        </w:rPr>
        <w:t>Custodian</w:t>
      </w:r>
      <w:r>
        <w:rPr>
          <w:rFonts w:ascii="Times New Roman;Times;Serif" w:hAnsi="Times New Roman;Times;Serif"/>
          <w:b w:val="false"/>
          <w:i w:val="false"/>
          <w:caps w:val="false"/>
          <w:smallCaps w:val="false"/>
          <w:sz w:val="20"/>
        </w:rPr>
        <w:t>”), (D) makes a general assignment for the benefit of its creditors or (E) admits in writing that it is generally unable to pay its debts as they become due;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 court of competent jurisdiction enters an order or decree under any Bankruptcy Law that (A) is for relief against the Company or any of its Subsidiaries in an involuntary case, (B) appoints a Custodian of the Company or any of its Subsidiaries or (C) orders the liquidation of the Company or any of its Subsidiaries;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(ix) a final judgment or judgments for the payment of money aggregating in excess of $250,000 are rendered against the Company or any of its Subsidiaries and which judgments are not, within sixty (60) days after the entry thereof, bonded, discharged or stayed pending appeal, or are not discharged within sixty (60) days after the expiration of such stay;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the Company or such Subsidiary (as the case may be) will receive the proceeds of such insurance or indemnity within thirty (30) days of the issuance of such judgment;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other than as specifically set forth in another clause of this Section 4(a), the Company or any of its Subsidiaries breaches any representation, warranty, covenant or other term or condition of any Transaction Document, except, in the case of a breach of a covenant or other term or condition of any Transaction Document which is curable, only if such breach continues for a period of at least an aggregate of ten (10) Business Days;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- 8 -</w:t>
      </w:r>
    </w:p>
    <w:p>
      <w:pPr>
        <w:pStyle w:val="TextBody"/>
        <w:bidi w:val="0"/>
        <w:spacing w:before="0" w:after="0"/>
        <w:jc w:val="center"/>
        <w:rPr/>
      </w:pPr>
      <w:r>
        <w:rPr/>
        <w:t> </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 any breach or failure in any respect to comply with either Sections 13 or 14 of this Note;</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any material damage to, or loss, theft or destruction of a material amount of property of the Company, whether or not insured, or any strike, lockout, labor dispute, embargo, condemnation, act of God or public enemy, or other casualty which causes, for more than thirty (30) consecutive days, the cessation or substantial curtailment of revenue producing activities at any facility of the Company or any Subsidiary, if any such event or circumstance would reasonably be expected to have a Material Adverse Effect;</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 false or inaccurate certification (including a false or inaccurate deemed certification) by the Company as to whether any Event of Default has occurred;</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Material Adverse Effect occurs;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the Company fails to remove any restrictive legend on any certificate or any shares of Common Stock issued to the Holder upon conversion or exercise (as the case may be) of any Instruments (as defined in the Purchase Agreement) (including this Note) as and when required by such Instruments or the Purchase Agreement, unless otherwise then prohibited by applicable federal securities laws, and any such failure remains uncured for at least five (5) Trading Days;</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the electronic transfer by the Company of shares of Common Stock through the Depository Trust Company or another established clearing corporation is no longer available or is subject to a “chill” which continues for period of three (3) days; or</w:t>
      </w:r>
    </w:p>
    <w:p>
      <w:pPr>
        <w:pStyle w:val="TextBody"/>
        <w:bidi w:val="0"/>
        <w:spacing w:before="0" w:after="0"/>
        <w:ind w:left="720" w:right="0" w:firstLine="2160"/>
        <w:jc w:val="both"/>
        <w:rPr>
          <w:caps w:val="false"/>
          <w:smallCaps w:val="false"/>
        </w:rPr>
      </w:pPr>
      <w:r>
        <w:rPr>
          <w:caps w:val="false"/>
          <w:smallCaps w:val="false"/>
        </w:rPr>
        <w:t> </w:t>
      </w:r>
    </w:p>
    <w:p>
      <w:pPr>
        <w:pStyle w:val="TextBody"/>
        <w:bidi w:val="0"/>
        <w:spacing w:before="0" w:after="0"/>
        <w:ind w:left="72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any Event of Default (as defined in the Other Notes) occurs and continues with respect to any Other Notes.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Redemption Right</w:t>
      </w:r>
      <w:r>
        <w:rPr>
          <w:rFonts w:ascii="Times New Roman;Times;Serif" w:hAnsi="Times New Roman;Times;Serif"/>
          <w:b w:val="false"/>
          <w:i w:val="false"/>
          <w:caps w:val="false"/>
          <w:smallCaps w:val="false"/>
          <w:sz w:val="20"/>
        </w:rPr>
        <w:t>. At any time after the earlier of the Holder’s receipt of an Event of Default Notice (as defined in Section 14(g)) and the Holder becoming aware of an Event of Default, the Holder may require the Company to redeem (an “</w:t>
      </w:r>
      <w:r>
        <w:rPr>
          <w:rFonts w:ascii="Times New Roman;Times;Serif" w:hAnsi="Times New Roman;Times;Serif"/>
          <w:b/>
          <w:i w:val="false"/>
          <w:caps w:val="false"/>
          <w:smallCaps w:val="false"/>
          <w:sz w:val="20"/>
        </w:rPr>
        <w:t>Event of Default Redemption</w:t>
      </w:r>
      <w:r>
        <w:rPr>
          <w:rFonts w:ascii="Times New Roman;Times;Serif" w:hAnsi="Times New Roman;Times;Serif"/>
          <w:b w:val="false"/>
          <w:i w:val="false"/>
          <w:caps w:val="false"/>
          <w:smallCaps w:val="false"/>
          <w:sz w:val="20"/>
        </w:rPr>
        <w:t>”) all or any portion of this Note by delivering written notice thereof (the “</w:t>
      </w:r>
      <w:r>
        <w:rPr>
          <w:rFonts w:ascii="Times New Roman;Times;Serif" w:hAnsi="Times New Roman;Times;Serif"/>
          <w:b/>
          <w:i w:val="false"/>
          <w:caps w:val="false"/>
          <w:smallCaps w:val="false"/>
          <w:sz w:val="20"/>
        </w:rPr>
        <w:t>Event of Default Redemption Notice</w:t>
      </w:r>
      <w:r>
        <w:rPr>
          <w:rFonts w:ascii="Times New Roman;Times;Serif" w:hAnsi="Times New Roman;Times;Serif"/>
          <w:b w:val="false"/>
          <w:i w:val="false"/>
          <w:caps w:val="false"/>
          <w:smallCaps w:val="false"/>
          <w:sz w:val="20"/>
        </w:rPr>
        <w:t>”) to the Company, which Event of Default Redemption Notice shall indicate the portion of this Note the Holder is electing to require the Company to redeem. Each portion of this Note subject to redemption by the Company pursuant to this Section 4(b) shall be redeemed by the Company in cash by wire transfer of immediately available funds at a price equal to the greater of (x) the product of (A) 125% and (B) the Conversion Amount being redeemed and (y) the product of (A) the Conversion Amount being redeemed and (B) the quotient determined by dividing (I) the greatest Closing Sale Price of the shares of Common Stock during the period beginning on the date immediately preceding such Event of Default and ending on the date the Holder delivers the Event of Default Redemption Notice, by (II) the lowest Conversion Price in effect during such period, in addition to any and all other amounts due hereunder (the “</w:t>
      </w:r>
      <w:r>
        <w:rPr>
          <w:rFonts w:ascii="Times New Roman;Times;Serif" w:hAnsi="Times New Roman;Times;Serif"/>
          <w:b/>
          <w:i w:val="false"/>
          <w:caps w:val="false"/>
          <w:smallCaps w:val="false"/>
          <w:sz w:val="20"/>
        </w:rPr>
        <w:t>Event of Default Redemption Price</w:t>
      </w:r>
      <w:r>
        <w:rPr>
          <w:rFonts w:ascii="Times New Roman;Times;Serif" w:hAnsi="Times New Roman;Times;Serif"/>
          <w:b w:val="false"/>
          <w:i w:val="false"/>
          <w:caps w:val="false"/>
          <w:smallCaps w:val="false"/>
          <w:sz w:val="20"/>
        </w:rPr>
        <w:t>”). Redemptions required by this Section 4(b) shall be made in accordance with the provisions of Section 10. To the extent redemptions required by this Section 4(b) are deemed or determined by a court of competent jurisdiction to be prepayments of the Note by the Company, such redemptions shall be deemed to be voluntary prepayments. Notwithstanding anything to the contrary in this Section 4, but subject to Section 3(d), until the Event of Default Redemption Price is paid in full, the Conversion Amount submitted for redemption under this Section 4(b) may be converted, in whole or in part, by the Holder into Common Stock pursuant to Section 3.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- 9 -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Automatic Acceleration upon Event of Default; Default Premium</w:t>
      </w:r>
      <w:r>
        <w:rPr>
          <w:rFonts w:ascii="Times New Roman;Times;Serif" w:hAnsi="Times New Roman;Times;Serif"/>
          <w:b w:val="false"/>
          <w:i w:val="false"/>
          <w:caps w:val="false"/>
          <w:smallCaps w:val="false"/>
          <w:sz w:val="20"/>
        </w:rPr>
        <w:t>. Notwithstanding anything to the contrary herein, and notwithstanding any conversion that is then required or in process, upon the occurrence and continuance of any Event of Default (including, without limitation, any Bankruptcy Event of Default), whether occurring prior to or following the Maturity Date, all outstanding Principal and accrued and unpaid Interest shall become immediately due and payable, and the Company shall immediately pay to the Holder an amount in cash equal to 110% of the sum of (i) all outstanding Principal and (ii) all accrued and unpaid Interest on such Principal (the “</w:t>
      </w:r>
      <w:r>
        <w:rPr>
          <w:rFonts w:ascii="Times New Roman;Times;Serif" w:hAnsi="Times New Roman;Times;Serif"/>
          <w:b/>
          <w:i w:val="false"/>
          <w:caps w:val="false"/>
          <w:smallCaps w:val="false"/>
          <w:sz w:val="20"/>
        </w:rPr>
        <w:t>Default Premium Redemption Price</w:t>
      </w:r>
      <w:r>
        <w:rPr>
          <w:rFonts w:ascii="Times New Roman;Times;Serif" w:hAnsi="Times New Roman;Times;Serif"/>
          <w:b w:val="false"/>
          <w:i w:val="false"/>
          <w:caps w:val="false"/>
          <w:smallCaps w:val="false"/>
          <w:sz w:val="20"/>
        </w:rPr>
        <w:t>”), in addition to any and all accrued and unpaid Late Charges and any other amounts due hereunder, without the requirement for any notice or demand or other action by the Holder or any other Person; provided that the Holder may, in its sole discretion, waive such right to receive payment upon an Event of Default, in whole or in part, and any such waiver shall not affect any other rights of the Holder hereunder, including any other rights in respect of such Event of Default, any right to conversion, and any right to payment of the Event of Default Redemption Price or any other Redemption Price, as applicable. The parties hereto agree that in the event of the Company’s obligation to pay the Default Premium Redemption Price under this Section 4(c), the Holder’s damages would be uncertain and difficult to estimate because of the parties’ inability to predict future interest rates and the uncertainty of the availability of a suitable substitute investment opportunity for the Holder. Accordingly, the Default Premium Redemption Price is intended by the parties to be, and shall be deemed, a reasonable estimate of the Holder’s actual loss of its investment opportunity and not as a penalty. For the avoidance of doubt, the automatic acceleration and Default Premium Redemption Price set forth in this Section 4(c) are in addition to, and not in lieu of, the Holder’s optional redemption rights under Section 4(b). Redemptions required by this Section 4(c) shall be made in accordance with the provisions of Section 10.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RIGHTS UPON FUNDAMENTAL TRANSACTION AND CHANGE OF CONTROL</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Assumption</w:t>
      </w:r>
      <w:r>
        <w:rPr>
          <w:rFonts w:ascii="Times New Roman;Times;Serif" w:hAnsi="Times New Roman;Times;Serif"/>
          <w:b w:val="false"/>
          <w:i w:val="false"/>
          <w:caps w:val="false"/>
          <w:smallCaps w:val="false"/>
          <w:sz w:val="20"/>
        </w:rPr>
        <w:t>. If, at any time while this Note is outstanding, the Company, directly or indirectly, in one or more related transactions effects any Fundamental Transaction or a Fundamental Transaction occurs or is consummated, then, upon any subsequent conversion of this Note, the Holder shall have the right to receive, for each share of Common Stock that would have been issuable upon such conversion immediately prior to the occurrence of such Fundamental Transaction, at the option of the Holder (without regard to any limitation in Section 3(d) on the conversion of this Note), the number of shares of Common Stock of the successor or acquiring corporation or of the Company, if it is the surviving corporation, and any additional consideration (the “</w:t>
      </w:r>
      <w:r>
        <w:rPr>
          <w:rFonts w:ascii="Times New Roman;Times;Serif" w:hAnsi="Times New Roman;Times;Serif"/>
          <w:b/>
          <w:i w:val="false"/>
          <w:caps w:val="false"/>
          <w:smallCaps w:val="false"/>
          <w:sz w:val="20"/>
        </w:rPr>
        <w:t>Alternate Consideration</w:t>
      </w:r>
      <w:r>
        <w:rPr>
          <w:rFonts w:ascii="Times New Roman;Times;Serif" w:hAnsi="Times New Roman;Times;Serif"/>
          <w:b w:val="false"/>
          <w:i w:val="false"/>
          <w:caps w:val="false"/>
          <w:smallCaps w:val="false"/>
          <w:sz w:val="20"/>
        </w:rPr>
        <w:t>”) receivable as a result of such Fundamental Transaction by a holder of the number of shares of Common Stock for which this Note is convertible immediately prior to such Fundamental Transaction (without regard to any limitation in Section 3(d) on the conversion of this Note). For purposes of any such conversion, the determination of the Conversion Price shall be appropriately adjusted to apply to such Alternate Consideration based on the amount of Alternate Consideration issuable in respect of one share of Common Stock in such Fundamental Transaction, and the Company shall apportion the Conversion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conversion of this Note following such Fundamental Transaction. The Company shall cause any successor entity in a Fundamental Transaction in which the Company is not the survivor (the “</w:t>
      </w:r>
      <w:r>
        <w:rPr>
          <w:rFonts w:ascii="Times New Roman;Times;Serif" w:hAnsi="Times New Roman;Times;Serif"/>
          <w:b/>
          <w:i w:val="false"/>
          <w:caps w:val="false"/>
          <w:smallCaps w:val="false"/>
          <w:sz w:val="20"/>
        </w:rPr>
        <w:t>Successor Entity</w:t>
      </w:r>
      <w:r>
        <w:rPr>
          <w:rFonts w:ascii="Times New Roman;Times;Serif" w:hAnsi="Times New Roman;Times;Serif"/>
          <w:b w:val="false"/>
          <w:i w:val="false"/>
          <w:caps w:val="false"/>
          <w:smallCaps w:val="false"/>
          <w:sz w:val="20"/>
        </w:rPr>
        <w:t xml:space="preserve">”) to assume in writing all of the obligations of the Company under this Note and the other Transaction Documents in accordance with the provisions of this Section 5(a) pursuant to written agreements in form and substance reasonably satisfactory to the Holder and approved by the Holder (without unreasonable delay) prior to such Fundamental Transaction and shall, at the option of the Holder, deliver to the Holder in exchange for this Note a security of the Successor Entity evidenced by a written instrument substantially similar in form and substance to this Note which is convertible for a corresponding number of shares of capital stock of such Successor Entity (or its parent entity) equivalent to the shares of Common Stock acquirable and receivable upon conversion of this Note (without regard to any limitations on the conversion of this Note) prior to such Fundamental Transaction, and with a conversion price which applies the conversion price hereunder to such shares of capital stock (but taking into account the relative value of the shares of Common Stock pursuant to such Fundamental Transaction and the value of such shares of capital stock, such number of shares of capital stock and such conversion price being for the purpose of protecting the economic value of this Note immediately prior to the consummation of such Fundamental Transaction), and which is reasonably satisfactory in form and substance to the Holder. Upon the occurrence of any such Fundamental Transaction, the Successor Entity shall be added to the term “Company” under this Note </w:t>
      </w:r>
      <w:r>
        <w:rPr>
          <w:rFonts w:ascii="Times New Roman;Times;Serif" w:hAnsi="Times New Roman;Times;Serif"/>
          <w:b w:val="false"/>
          <w:i w:val="false"/>
          <w:caps w:val="false"/>
          <w:smallCaps w:val="false"/>
          <w:sz w:val="20"/>
          <w:shd w:fill="FFFFFF" w:val="clear"/>
        </w:rPr>
        <w:t>(so that from and after the occurrence or consummation of such Fundamental Transaction, each and every provision of this Note and the other Transaction Documents referring to the “Company” shall refer instead to each of the Company and the Successor Entity or Successor Entities, jointly and severally), and the Successor Entity or Successor Entities, jointly and severally with the Company, may exercise every right and power of the Company prior thereto and the Successor Entity or Successor Entities shall assume all of the obligations of the Company prior thereto under this Note and the other Transaction Documents with the same effect as if the Company and such Successor Entity or Successor Entities, jointly and severally, had been named as the Company in this Note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- 10 -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Redemption Right</w:t>
      </w:r>
      <w:r>
        <w:rPr>
          <w:rFonts w:ascii="Times New Roman;Times;Serif" w:hAnsi="Times New Roman;Times;Serif"/>
          <w:b w:val="false"/>
          <w:i w:val="false"/>
          <w:caps w:val="false"/>
          <w:smallCaps w:val="false"/>
          <w:sz w:val="20"/>
        </w:rPr>
        <w:t>. No sooner than twenty-five (25) days nor later than twenty (20) days prior to the consummation of a Change of Control, but not prior to the public announcement of such Change of Control, the Company shall deliver written notice thereof via electronic mail and overnight courier to the Holder (a “</w:t>
      </w:r>
      <w:r>
        <w:rPr>
          <w:rFonts w:ascii="Times New Roman;Times;Serif" w:hAnsi="Times New Roman;Times;Serif"/>
          <w:b/>
          <w:i w:val="false"/>
          <w:caps w:val="false"/>
          <w:smallCaps w:val="false"/>
          <w:sz w:val="20"/>
        </w:rPr>
        <w:t>Change of Control Notice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shd w:fill="FFFFFF" w:val="clear"/>
        </w:rPr>
        <w:t>setting forth a description of such transaction in reasonable detail and the anticipated Change of Control Redemption Date (as defined in Section 10(a)) if then known</w:t>
      </w:r>
      <w:r>
        <w:rPr>
          <w:rFonts w:ascii="Times New Roman;Times;Serif" w:hAnsi="Times New Roman;Times;Serif"/>
          <w:b w:val="false"/>
          <w:i w:val="false"/>
          <w:caps w:val="false"/>
          <w:smallCaps w:val="false"/>
          <w:sz w:val="20"/>
        </w:rPr>
        <w:t>. At any time during the period beginning on the earlier to occur of (x) any oral or written agreement by the Company or any of its Subsidiaries, upon consummation of which the transaction contemplated thereby would reasonably be expected to result in a Change of Control, (y) the Holder becoming aware of a Change of Control and (z) the Holder’s receipt of a Change of Control Notice and ending twenty-five (25) Trading Days after the date of the consummation of such Change of Control, the Holder may require the Company to redeem (a “</w:t>
      </w:r>
      <w:r>
        <w:rPr>
          <w:rFonts w:ascii="Times New Roman;Times;Serif" w:hAnsi="Times New Roman;Times;Serif"/>
          <w:b/>
          <w:i w:val="false"/>
          <w:caps w:val="false"/>
          <w:smallCaps w:val="false"/>
          <w:sz w:val="20"/>
        </w:rPr>
        <w:t>Change of Control Redemption</w:t>
      </w:r>
      <w:r>
        <w:rPr>
          <w:rFonts w:ascii="Times New Roman;Times;Serif" w:hAnsi="Times New Roman;Times;Serif"/>
          <w:b w:val="false"/>
          <w:i w:val="false"/>
          <w:caps w:val="false"/>
          <w:smallCaps w:val="false"/>
          <w:sz w:val="20"/>
        </w:rPr>
        <w:t>”) all or any portion of this Note by delivering written notice thereof (“</w:t>
      </w:r>
      <w:r>
        <w:rPr>
          <w:rFonts w:ascii="Times New Roman;Times;Serif" w:hAnsi="Times New Roman;Times;Serif"/>
          <w:b/>
          <w:i w:val="false"/>
          <w:caps w:val="false"/>
          <w:smallCaps w:val="false"/>
          <w:sz w:val="20"/>
        </w:rPr>
        <w:t>Change of Control Redemption Notice</w:t>
      </w:r>
      <w:r>
        <w:rPr>
          <w:rFonts w:ascii="Times New Roman;Times;Serif" w:hAnsi="Times New Roman;Times;Serif"/>
          <w:b w:val="false"/>
          <w:i w:val="false"/>
          <w:caps w:val="false"/>
          <w:smallCaps w:val="false"/>
          <w:sz w:val="20"/>
        </w:rPr>
        <w:t>”) to the Company, which Change of Control Redemption Notice shall indicate the Conversion Amount the Holder is electing to require the Company to redeem. The portion of this Note subject to redemption pursuant to this Section 5(b) shall be redeemed by the Company in cash by wire transfer of immediately available funds at a price equal to 110% of the sum of (A) the outstanding Principal being redeemed and (B) all accrued and unpaid Interest on such Principal (the “</w:t>
      </w:r>
      <w:r>
        <w:rPr>
          <w:rFonts w:ascii="Times New Roman;Times;Serif" w:hAnsi="Times New Roman;Times;Serif"/>
          <w:b/>
          <w:i w:val="false"/>
          <w:caps w:val="false"/>
          <w:smallCaps w:val="false"/>
          <w:sz w:val="20"/>
        </w:rPr>
        <w:t>Change of Control Redemption Price</w:t>
      </w:r>
      <w:r>
        <w:rPr>
          <w:rFonts w:ascii="Times New Roman;Times;Serif" w:hAnsi="Times New Roman;Times;Serif"/>
          <w:b w:val="false"/>
          <w:i w:val="false"/>
          <w:caps w:val="false"/>
          <w:smallCaps w:val="false"/>
          <w:sz w:val="20"/>
        </w:rPr>
        <w:t>”). Redemptions required by this Section 5 shall be made in accordance with the provisions of Section 10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Notwithstanding anything to the contrary in this Section 5, but subject to Section 3(d), until the Change of Control Redemption Price is paid in full, the Conversion Amount submitted for redemption under this Section 5(b) may be converted, in whole or in part, by the Holder into Common Stock pursuant to Section 3. Notwithstanding the foregoing, following delivery of a Change of Control Notice, the Holder may also continue to exercise any and all of its other rights under this Note, including, without limitation, its conversion rights pursuant to Section 3 and its redemption rights pursuant to Section 4.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DISTRIBUTION OF ASSETS; RIGHTS UPON ISSUANCE OF PURCHASE RIGHTS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Distribution of Assets</w:t>
      </w:r>
      <w:r>
        <w:rPr>
          <w:rFonts w:ascii="Times New Roman;Times;Serif" w:hAnsi="Times New Roman;Times;Serif"/>
          <w:b w:val="false"/>
          <w:i w:val="false"/>
          <w:caps w:val="false"/>
          <w:smallCaps w:val="false"/>
          <w:sz w:val="20"/>
        </w:rPr>
        <w:t>. If the Company shall, on or after the Subscription Date, declare or make any dividend or other distributions of its assets (or rights to acquire its assets) to any or all holders of shares of Common Stock, by way of return of capital or otherwise (including without limitation, any distribution of cash, stock or other securities, property, Options, evidence of Indebtedness or any other assets by way of a dividend, spin off, reclassification, corporate rearrangement, scheme of arrangement or other similar transaction) (a “</w:t>
      </w:r>
      <w:r>
        <w:rPr>
          <w:rFonts w:ascii="Times New Roman;Times;Serif" w:hAnsi="Times New Roman;Times;Serif"/>
          <w:b/>
          <w:i w:val="false"/>
          <w:caps w:val="false"/>
          <w:smallCaps w:val="false"/>
          <w:sz w:val="20"/>
        </w:rPr>
        <w:t>Distribution</w:t>
      </w:r>
      <w:r>
        <w:rPr>
          <w:rFonts w:ascii="Times New Roman;Times;Serif" w:hAnsi="Times New Roman;Times;Serif"/>
          <w:b w:val="false"/>
          <w:i w:val="false"/>
          <w:caps w:val="false"/>
          <w:smallCaps w:val="false"/>
          <w:sz w:val="20"/>
        </w:rPr>
        <w:t>”), then the Holder will be entitled to such Distribution as if the Holder had held the number of shares of Common Stock acquirable upon complete conversion of this Note (without taking into account any limitations or restrictions on the convertibility of this Note) immediately prior to the date on which a record is taken for such Distribution or, if no such record is taken, the date as of which the record holders of Common Stock are to be determined for such Distributions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Distribution would result in the Holder and the other Attribution Parties exceeding the Maximum Percentage, then the Holder shall not be entitled to participate in such Distribution to such extent (and shall not be entitled to beneficial ownership of such shares of Common Stock as a result of such Distribution (and beneficial ownership) to such extent) and the portion of such Distribution shall be held in abeyance for the Holder until such time or times as its right thereto would not result in the Holder and the other Attribution Parties exceeding the Maximum Percentage, at which time or times the Holder shall be granted such Distribution (and any Distributions declared or made on such initial Distribution or on any subsequent Distribution to be held similarly in abeyance) to the same extent as if there had been no such limitation).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- 11 -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Purchase Rights</w:t>
      </w:r>
      <w:r>
        <w:rPr>
          <w:rFonts w:ascii="Times New Roman;Times;Serif" w:hAnsi="Times New Roman;Times;Serif"/>
          <w:b w:val="false"/>
          <w:i w:val="false"/>
          <w:caps w:val="false"/>
          <w:smallCaps w:val="false"/>
          <w:sz w:val="20"/>
        </w:rPr>
        <w:t>. If at any time on or after the Subscription Date the Company grants, issues or sells any Options, Convertible Securities or rights to purchase stock, warrants, securities or other property pro rata to the record holders of any class of Common Stock (the “</w:t>
      </w:r>
      <w:r>
        <w:rPr>
          <w:rFonts w:ascii="Times New Roman;Times;Serif" w:hAnsi="Times New Roman;Times;Serif"/>
          <w:b/>
          <w:i w:val="false"/>
          <w:caps w:val="false"/>
          <w:smallCaps w:val="false"/>
          <w:sz w:val="20"/>
        </w:rPr>
        <w:t>Purchase Rights</w:t>
      </w:r>
      <w:r>
        <w:rPr>
          <w:rFonts w:ascii="Times New Roman;Times;Serif" w:hAnsi="Times New Roman;Times;Serif"/>
          <w:b w:val="false"/>
          <w:i w:val="false"/>
          <w:caps w:val="false"/>
          <w:smallCaps w:val="false"/>
          <w:sz w:val="20"/>
        </w:rPr>
        <w:t>”), then the Holder will be entitled to acquire, upon the terms applicable to such Purchase Rights, the aggregate Purchase Rights which the Holder could have acquired if the Holder had held the number of shares of Common Stock acquirable upon complete conversion of this Note (without taking into account any limitations or restrictions on the convertibility of this Note) immediately prior to the date on which a record is taken for the grant, issuance or sale of such Purchase Rights, or, if no such record is taken, the date as of which the record holders of shares of Common Stock are to be determined for the grant, issue or sale of such Purchase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to the extent that the Holder’s right to participate in any such Purchase Right would result in the Holder and the other Attribution Parties exceeding the Maximum Percentage, then the Holder shall not be entitled to participate in such Purchase Right to such extent (and shall not be entitled to beneficial ownership of such shares of Common Stock as a result of such Purchase Right (and beneficial ownership) to such extent) and such Purchase Right to such extent shall be held in abeyance for the Holder until such time or times as its right thereto would not result in the Holder and the other Attribution Parties exceeding the Maximum Percentage, at which time or times the Holder shall be granted such right (and any Purchase Right granted, issued or sold on such initial Purchase Right or on any subsequent Purchase Right to be held similarly in abeyance) to the same extent as if there had been no such limitation).</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ADJUSTMENTS TO CONVERSION PRICE</w:t>
      </w:r>
      <w:r>
        <w:rPr>
          <w:rFonts w:ascii="Times New Roman;Times;Serif" w:hAnsi="Times New Roman;Times;Serif"/>
          <w:b w:val="false"/>
          <w:i w:val="false"/>
          <w:caps w:val="false"/>
          <w:smallCaps w:val="false"/>
          <w:sz w:val="20"/>
        </w:rPr>
        <w:t>. The Conversion Price will be subject to adjustment from time to time as provided in this Section 7.</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Adjustment of Conversion Price upon Subdivision or Combination of Common Stock</w:t>
      </w:r>
      <w:r>
        <w:rPr>
          <w:rFonts w:ascii="Times New Roman;Times;Serif" w:hAnsi="Times New Roman;Times;Serif"/>
          <w:b w:val="false"/>
          <w:i w:val="false"/>
          <w:caps w:val="false"/>
          <w:smallCaps w:val="false"/>
          <w:sz w:val="20"/>
        </w:rPr>
        <w:t>. If the Company at any time on or after the Subscription Date subdivides (by any stock split, stock dividend, recapitalization or otherwise) one or more classes of its outstanding shares of Common Stock into a greater number of shares, the Conversion Price in effect immediately prior to such subdivision will be proportionately reduced. If the Company at any time on or after the Subscription Date combines (by combination, reverse stock split or otherwise) one or more classes of its outstanding shares of Common Stock into a smaller number of shares, the Conversion Price in effect immediately prior to such combination will be proportionately increased. Any adjustment under this Section 7(a) shall become effective at the close of business on the date the subdivision or combination becomes effective.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Voluntary Adjustment by Company</w:t>
      </w:r>
      <w:r>
        <w:rPr>
          <w:rFonts w:ascii="Times New Roman;Times;Serif" w:hAnsi="Times New Roman;Times;Serif"/>
          <w:b w:val="false"/>
          <w:i w:val="false"/>
          <w:caps w:val="false"/>
          <w:smallCaps w:val="false"/>
          <w:sz w:val="20"/>
        </w:rPr>
        <w:t>. Subject to the rules and regulations of the Principal Market or such other principal securities exchange or trading market on which the Common Stock is then listed, the Company may at any time during the term of this Note, with the prior written consent of the Required Holders, reduce the then current Conversion Price to any amount and for any period of time deemed appropriate by the Board of Directors of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NONCIRCUMVENTION</w:t>
      </w:r>
      <w:r>
        <w:rPr>
          <w:rFonts w:ascii="Times New Roman;Times;Serif" w:hAnsi="Times New Roman;Times;Serif"/>
          <w:b w:val="false"/>
          <w:i w:val="false"/>
          <w:caps w:val="false"/>
          <w:smallCaps w:val="false"/>
          <w:sz w:val="20"/>
        </w:rPr>
        <w:t>. The Company hereby covenants and agrees that the Company will not, by amendment of its Certificate of Incorporation or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- 12 -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RESERVATION OF AUTHORIZED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Reservation</w:t>
      </w:r>
      <w:r>
        <w:rPr>
          <w:rFonts w:ascii="Times New Roman;Times;Serif" w:hAnsi="Times New Roman;Times;Serif"/>
          <w:b w:val="false"/>
          <w:i w:val="false"/>
          <w:caps w:val="false"/>
          <w:smallCaps w:val="false"/>
          <w:sz w:val="20"/>
        </w:rPr>
        <w:t>. From and after the date the Issuance Date, the Company shall reserve a number of authorized and otherwise unreserved shares of Common Stock to satisfy its obligation to issue shares of Common Stock pursuant to the terms of this Note and the Other Notes equal to two hundred percent (200%) of the maximum number of Conversion Shares issuable pursuant to the terms of the Notes (without regard to any limitation in Section 3(d) on the conversion of this Note) (the “</w:t>
      </w:r>
      <w:r>
        <w:rPr>
          <w:rFonts w:ascii="Times New Roman;Times;Serif" w:hAnsi="Times New Roman;Times;Serif"/>
          <w:b/>
          <w:i w:val="false"/>
          <w:caps w:val="false"/>
          <w:smallCaps w:val="false"/>
          <w:sz w:val="20"/>
        </w:rPr>
        <w:t>Required Reserve Amount</w:t>
      </w:r>
      <w:r>
        <w:rPr>
          <w:rFonts w:ascii="Times New Roman;Times;Serif" w:hAnsi="Times New Roman;Times;Serif"/>
          <w:b w:val="false"/>
          <w:i w:val="false"/>
          <w:caps w:val="false"/>
          <w:smallCaps w:val="false"/>
          <w:sz w:val="20"/>
        </w:rPr>
        <w:t>”). So long as any of this Note and the Other Notes are outstanding, the Company shall take all action necessary to reserve and keep available out of its authorized and unissued Common Stock the Required Reserve Amount solely for the purpose of issuing shares of Common Stock pursuant to the terms of this Note and the Other Notes. The initial number of shares of Common Stock reserved for issuances pursuant to the terms of this Note and the Other Notes and each increase in the number of shares so reserved shall be allocated pro rata among the Holder and the holders of the Other Notes based on the Principal amount of this Note and the Other Notes held by each holder at the Closing (as defined in the Purchase Agreement) (the “</w:t>
      </w:r>
      <w:r>
        <w:rPr>
          <w:rFonts w:ascii="Times New Roman;Times;Serif" w:hAnsi="Times New Roman;Times;Serif"/>
          <w:b/>
          <w:i w:val="false"/>
          <w:caps w:val="false"/>
          <w:smallCaps w:val="false"/>
          <w:sz w:val="20"/>
        </w:rPr>
        <w:t>Authorized Share Allocation</w:t>
      </w:r>
      <w:r>
        <w:rPr>
          <w:rFonts w:ascii="Times New Roman;Times;Serif" w:hAnsi="Times New Roman;Times;Serif"/>
          <w:b w:val="false"/>
          <w:i w:val="false"/>
          <w:caps w:val="false"/>
          <w:smallCaps w:val="false"/>
          <w:sz w:val="20"/>
        </w:rPr>
        <w:t>”). In the event that a holder shall sell or otherwise transfer this Note or any of such holder’s Other Notes, each transferee shall be allocated a pro rata portion of such holder’s Authorized Share Allocation with respect to the portion of the Notes being transferred. Any shares of Common Stock reserved and allocated to any Person which ceases to hold any Notes shall be allocated to the Holder and the remaining holders of Other Notes, pro rata based on the Principal amount of this Note and the Other Notes then held by such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Insufficient Authorized Shares</w:t>
      </w:r>
      <w:r>
        <w:rPr>
          <w:rFonts w:ascii="Times New Roman;Times;Serif" w:hAnsi="Times New Roman;Times;Serif"/>
          <w:b w:val="false"/>
          <w:i w:val="false"/>
          <w:caps w:val="false"/>
          <w:smallCaps w:val="false"/>
          <w:sz w:val="20"/>
        </w:rPr>
        <w:t>. If at any time while any of the Notes remain outstanding the Company does not have a sufficient number of authorized and unreserved shares of Common Stock to satisfy its obligation to reserve for issuance upon conversion of the Notes at least a number of shares of Common Stock equal to the Required Reserve Amount (an “</w:t>
      </w:r>
      <w:r>
        <w:rPr>
          <w:rFonts w:ascii="Times New Roman;Times;Serif" w:hAnsi="Times New Roman;Times;Serif"/>
          <w:b/>
          <w:i w:val="false"/>
          <w:caps w:val="false"/>
          <w:smallCaps w:val="false"/>
          <w:sz w:val="20"/>
        </w:rPr>
        <w:t>Authorized Share Failure</w:t>
      </w:r>
      <w:r>
        <w:rPr>
          <w:rFonts w:ascii="Times New Roman;Times;Serif" w:hAnsi="Times New Roman;Times;Serif"/>
          <w:b w:val="false"/>
          <w:i w:val="false"/>
          <w:caps w:val="false"/>
          <w:smallCaps w:val="false"/>
          <w:sz w:val="20"/>
        </w:rPr>
        <w:t>”), then the Company shall immediately take all action necessary to increase the Company’s authorized shares of Common Stock to an amount sufficient to allow the Company to reserve the Required Reserve Amount for the Notes then outstanding. Without limiting the generality of the foregoing sentence, as soon as practicable after the date of the occurrence of an Authorized Share Failure, but in no event later than sixty (60) days after the occurrence of such Authorized Share Failure, the Company shall hold a meeting of its stockholders for the approval of an increase in the number of authorized shares of Common Stock. In connection with such meeting, the Company shall provide each stockholder with a proxy statement and shall use its best efforts to solicit its stockholders’ approval of such increase in authorized shares of Common Stock and to cause its Board of Directors to recommend to the stockholders that they approve such proposal. Notwithstanding the foregoing, if during any such time of an Authorized Share Failure, the Company is able to obtain the written consent of a majority of the shares of its issued and outstanding Common Stock to approve the increase in the number of authorized shares of Common Stock, the Company may satisfy this obligation by obtaining such consent and submitting for filing with the SEC an Information Statement on Schedule 14C. If, upon any conversion of this Note, the Company does not have sufficient authorized shares to deliver in satisfaction of such conversion, then unless the Holder elects to rescind such attempted conversion, the Holder may require the Company to pay to the Holder within two (2) Trading Days of the applicable attempted conversion, cash in an amount equal to the product of (i) the number of shares of Common Stock that the Company is unable to deliver pursuant to this Section 9, and (ii) the highest Closing Sale Price of the Common Stock during the period beginning on the date of the applicable Conversion Date and ending on the date the Company makes the applicable cash payment.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- 13 -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REDEMPTIONS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Mechanics</w:t>
      </w:r>
      <w:r>
        <w:rPr>
          <w:rFonts w:ascii="Times New Roman;Times;Serif" w:hAnsi="Times New Roman;Times;Serif"/>
          <w:b w:val="false"/>
          <w:i w:val="false"/>
          <w:caps w:val="false"/>
          <w:smallCaps w:val="false"/>
          <w:sz w:val="20"/>
        </w:rPr>
        <w:t>. The Company shall deliver the applicable Event of Default Redemption Price to the Holder within three (3) Business Days after the Company’s receipt of the Holder’s Event of Default Redemption Notice; provided that upon a Bankruptcy Event of Default, the Company shall deliver the applicable Bankruptcy Event of Default Redemption Price in accordance with Section 4(c) (as applicable, the “</w:t>
      </w:r>
      <w:r>
        <w:rPr>
          <w:rFonts w:ascii="Times New Roman;Times;Serif" w:hAnsi="Times New Roman;Times;Serif"/>
          <w:b/>
          <w:i w:val="false"/>
          <w:caps w:val="false"/>
          <w:smallCaps w:val="false"/>
          <w:sz w:val="20"/>
        </w:rPr>
        <w:t>Event of Default Redemption Date</w:t>
      </w:r>
      <w:r>
        <w:rPr>
          <w:rFonts w:ascii="Times New Roman;Times;Serif" w:hAnsi="Times New Roman;Times;Serif"/>
          <w:b w:val="false"/>
          <w:i w:val="false"/>
          <w:caps w:val="false"/>
          <w:smallCaps w:val="false"/>
          <w:sz w:val="20"/>
        </w:rPr>
        <w:t>”). If the Holder has submitted a Change of Control Redemption Notice in accordance with Section 5(b), the Company shall deliver the applicable Change of Control Redemption Price to the Holder (i) concurrently with the consummation of such Change of Control if such notice is received prior to the consummation of such Change of Control and (ii) within three (3) Business Days after the Company’s receipt of such notice otherwise (such date, the “</w:t>
      </w:r>
      <w:r>
        <w:rPr>
          <w:rFonts w:ascii="Times New Roman;Times;Serif" w:hAnsi="Times New Roman;Times;Serif"/>
          <w:b/>
          <w:i w:val="false"/>
          <w:caps w:val="false"/>
          <w:smallCaps w:val="false"/>
          <w:sz w:val="20"/>
        </w:rPr>
        <w:t>Change of Control Redemption Date</w:t>
      </w:r>
      <w:r>
        <w:rPr>
          <w:rFonts w:ascii="Times New Roman;Times;Serif" w:hAnsi="Times New Roman;Times;Serif"/>
          <w:b w:val="false"/>
          <w:i w:val="false"/>
          <w:caps w:val="false"/>
          <w:smallCaps w:val="false"/>
          <w:sz w:val="20"/>
        </w:rPr>
        <w:t>”). The Company shall pay the applicable Redemption Price to the Holder in cash by wire transfer of immediately available funds pursuant to wire instructions provided by the Holder in writing to the Company on the applicable due date. In the event of a redemption of less than all of the Conversion Amount of this Note, the Company shall promptly cause to be issued and delivered to the Holder a new Note (in accordance with Section 17(d)) representing the outstanding Principal which has not been redeemed and any accrued Interest on such Principal which shall be calculated as if no Redemption Notice has been delivered. In the event that the Company does not pay a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Conversion Amount that was submitted for redemption and for which the applicable Redemption Price has not been paid. Upon the Company’s receipt of such notice, (x) the applicable Redemption Notice shall be null and void with respect to such Conversion Amount, (y) the Company shall immediately return this Note, or issue a new Note (in accordance with Section 17(d)) to the Holder representing such Conversion Amount to be redeemed and (z) the Conversion Price of this Note or such new Notes shall be adjusted to the lesser of (A) the Conversion Price as in effect on the date on which the applicable Redemption Notice is voided and (B) the lowest Closing Bid Price of the Common Stock during the period beginning on and including the date on which the applicable Redemption Notice is delivered to the Company and ending on and including the date on which the applicable Redemption Notice is voided. The Holder’s delivery of a notice voiding a Redemption Notice and exercise of its rights following such notice shall not affect the Company’s obligations to make any payments of Late Charges which have accrued prior to the date of such notice with respect to the Conversion Amount subject to such notice.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Redemption by Other Holders</w:t>
      </w:r>
      <w:r>
        <w:rPr>
          <w:rFonts w:ascii="Times New Roman;Times;Serif" w:hAnsi="Times New Roman;Times;Serif"/>
          <w:b w:val="false"/>
          <w:i w:val="false"/>
          <w:caps w:val="false"/>
          <w:smallCaps w:val="false"/>
          <w:sz w:val="20"/>
        </w:rPr>
        <w:t>. Upon the Company’s receipt of notice from any of the holders of the Other Notes for redemption or repayment as a result of an event or occurrence substantially similar to the events or occurrences described in Section 4(b) or Section 5(b) or pursuant to corresponding provisions set forth in the Other Notes (each, an “</w:t>
      </w:r>
      <w:r>
        <w:rPr>
          <w:rFonts w:ascii="Times New Roman;Times;Serif" w:hAnsi="Times New Roman;Times;Serif"/>
          <w:b/>
          <w:i w:val="false"/>
          <w:caps w:val="false"/>
          <w:smallCaps w:val="false"/>
          <w:sz w:val="20"/>
        </w:rPr>
        <w:t>Other Redemption Notice</w:t>
      </w:r>
      <w:r>
        <w:rPr>
          <w:rFonts w:ascii="Times New Roman;Times;Serif" w:hAnsi="Times New Roman;Times;Serif"/>
          <w:b w:val="false"/>
          <w:i w:val="false"/>
          <w:caps w:val="false"/>
          <w:smallCaps w:val="false"/>
          <w:sz w:val="20"/>
        </w:rPr>
        <w:t>”), the Company shall immediately, but no later than one (1) Business Day of its receipt thereof, forward to the Holder by electronic mail a copy of such notice. If the Company receives a Redemption Notice and one or more Other Redemption Notices, during the seven (7) Business Day period beginning on and including the date which is three (3) Business Days prior to the Company’s receipt of the Holder’s Redemption Notice and ending on and including the date which is three (3) Business Days after the Company’s receipt of the Holder’s Redemption Notice and the Company is unable to redeem all principal, interest and other amounts designated in such Redemption Notice and such Other Redemption Notices received during such seven (7) Business Day period, then the Company shall redeem, a pro rata amount from the Holder and each holder of the Other Notes based on the Principal amount of this Note and the Other Notes submitted for redemption pursuant to such Redemption Notice and such Other Redemption Notices received by the Company during such seven (7) Business Day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- 14 -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Insufficient Assets</w:t>
      </w:r>
      <w:r>
        <w:rPr>
          <w:rFonts w:ascii="Times New Roman;Times;Serif" w:hAnsi="Times New Roman;Times;Serif"/>
          <w:b w:val="false"/>
          <w:i w:val="false"/>
          <w:caps w:val="false"/>
          <w:smallCaps w:val="false"/>
          <w:sz w:val="20"/>
        </w:rPr>
        <w:t>. If upon a Redemption Date, the assets of the Company are insufficient to pay the applicable Redemption Price, the Company shall (i) take all appropriate action reasonably within its means to maximize the assets available for paying the applicable Redemption Price, (ii) redeem out of all such assets available therefor on the applicable Redemption Date the maximum possible portion of the applicable Redemption Price that it can redeem on such date, pro rata among the Holder and the holders of the Other Notes to be redeemed in proportion to the aggregate Principal amount of this Note and the Other Notes outstanding on the applicable Redemption Date and (iii) following the applicable Redemption Date, at any time and from time to time when additional assets of the Company become available to pay the balance of the applicable Redemption Price of this Note and the Other Notes, the Company shall use such assets, at the end of the then current fiscal quarter, to pay the balance of such Redemption Price of this Note and the Other Notes, or such portion thereof for which assets are then available, on the basis set forth above at the applicable Redemption Price, and such assets will not be used prior to the end of such fiscal quarter for any other purpose. Interest on the Principal amount of this Note and the Other Notes that have not been redeemed shall continue to accrue until such time as the Company redeems this Note and the Other Notes. The Company shall pay the applicable Redemption Price to the Holder in cash by wire transfer of immediately available funds pursuant to wire instructions provided by the Holder in writing to the Company on the applicable due date without regard to the legal availability of funds unless expressly prohibited by applicable law.</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VOTING RIGHTS</w:t>
      </w:r>
      <w:r>
        <w:rPr>
          <w:rFonts w:ascii="Times New Roman;Times;Serif" w:hAnsi="Times New Roman;Times;Serif"/>
          <w:b w:val="false"/>
          <w:i w:val="false"/>
          <w:caps w:val="false"/>
          <w:smallCaps w:val="false"/>
          <w:sz w:val="20"/>
        </w:rPr>
        <w:t>. The Holder shall have no voting rights as the holder of this Note, except as required by law and as expressly provided in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RANK</w:t>
      </w:r>
      <w:r>
        <w:rPr>
          <w:rFonts w:ascii="Times New Roman;Times;Serif" w:hAnsi="Times New Roman;Times;Serif"/>
          <w:b w:val="false"/>
          <w:i w:val="false"/>
          <w:caps w:val="false"/>
          <w:smallCaps w:val="false"/>
          <w:sz w:val="20"/>
        </w:rPr>
        <w:t xml:space="preserve">. All payments due under this Note (a) shall rank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all Other Notes and (b) shall be senior to all other Indebtedness of the Company and its Subsidiaries (other than Yorkville Indebtedness (as defined in Section 31)), and (c) are secured by a second priority perfected security interest in the Collateral pursuant to the Security Agreement, contractually subordinate to Liens securing the Yorkville Indebtedness, which security interest shall rank pari passu with the security interests granted to the holders of the Other Notes and shall automatically become a first priority security interest upon the full repayment of all obligations owed to Yorkville, without the need for any amendment, consent, or further documentation.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NEGATIVE COVENANTS</w:t>
      </w:r>
      <w:r>
        <w:rPr>
          <w:rFonts w:ascii="Times New Roman;Times;Serif" w:hAnsi="Times New Roman;Times;Serif"/>
          <w:b w:val="false"/>
          <w:i w:val="false"/>
          <w:caps w:val="false"/>
          <w:smallCaps w:val="false"/>
          <w:sz w:val="20"/>
        </w:rPr>
        <w:t>. Except as noted below, until all of the Notes have been converted, redeemed or otherwise satisfied in full in accordance with their terms, the Company shall not, and the Company shall not permit any of its Subsidiaries without the prior written consent of the Required Holders to, directly or indirectly by merger or otherwise: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incur, guarantee or assume any Indebtedness, other than Permitted Indebtedness;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suffer to exist any Indebtedness, other than Permitted Indebtedness;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allow or suffer to exist any mortgage, lien, pledge, charge, security interest or other encumbrance upon or in any property or assets (including accounts and contract rights) owned by the Company or any of its Subsidiaries (collectively, “</w:t>
      </w:r>
      <w:r>
        <w:rPr>
          <w:rFonts w:ascii="Times New Roman;Times;Serif" w:hAnsi="Times New Roman;Times;Serif"/>
          <w:b/>
          <w:i w:val="false"/>
          <w:caps w:val="false"/>
          <w:smallCaps w:val="false"/>
          <w:sz w:val="20"/>
        </w:rPr>
        <w:t>Liens</w:t>
      </w:r>
      <w:r>
        <w:rPr>
          <w:rFonts w:ascii="Times New Roman;Times;Serif" w:hAnsi="Times New Roman;Times;Serif"/>
          <w:b w:val="false"/>
          <w:i w:val="false"/>
          <w:caps w:val="false"/>
          <w:smallCaps w:val="false"/>
          <w:sz w:val="20"/>
        </w:rPr>
        <w:t>”) other than Permitted Liens;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redeem, defease, repurchase, repay or make any payments in respect of, by the payment of cash or cash equivalents (in whole or in part, whether by way of open market purchases, tender offers, private transactions or otherwise), all or any portion of any Indebtedness (other than this Note and the Other Notes),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redeem, defease, repurchase, repay or make any payments in respect of, by the payment of cash or cash equivalents (in whole or in part, whether by way of open market purchases, tender offers, private transactions or otherwise), all or any portion of any Indebtedness (including, without limitation Permitted Indebtedness other than this Note and the Other Notes), by way of payment in respect of principal of (or premium, if any) such Indebtedness; provided, however, that this restriction shall not apply to scheduled or mandatory principal repayments of Yorkville Indebtedness made in accordance with the terms of the Yorkville Documents as in effect on the Issuance Date. For clarity, such restriction shall not preclude the payment of regularly scheduled interest payments which may accrue under such Permitted Indebtedness.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- 15 -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redeem or repurchase any Equity Interest of the Company other than pursuant to existing rights associated with any Equity Interest of the Company outstanding as of the date 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declare or pay any cash dividend or distribution on any Equity Interest of the Company or of its Subsidiaries other than wholly-owned Subsidiaries;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make, any change in the nature of its business as described in the Company’s most recent Annual Report filed on Form 10-K with the SEC or modify its corporate structure or purpose with the exception of any changes as result of the HOD Merger;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encumber, license or otherwise allow any Liens on any Intellectual Property Rights, including, without limitation, any claims for damage by way of any past, present, or future infringement of any of the foregoing, in each case, other than Permitted Liens;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enter into, renew, extend or be a party to, any transaction or series of related transactions (including, without limitation, the purchase, sale, lease, license, transfer or exchange of property or assets of any kind or the rendering of services of any kind) with any Affiliate, except in the ordinary course of business in a manner and to an extent consistent with past practice and necessary or desirable for the prudent operation of its business, for fair consideration and on terms no less favorable to it or its Subsidiaries than would be obtainable in a comparable arm’s length transaction with a Person that is not an Affiliate thereof; or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issue any Notes or issue </w:t>
      </w:r>
      <w:r>
        <w:rPr>
          <w:rFonts w:ascii="Times New Roman;Times;Serif" w:hAnsi="Times New Roman;Times;Serif"/>
          <w:b w:val="false"/>
          <w:i w:val="false"/>
          <w:caps w:val="false"/>
          <w:smallCaps w:val="false"/>
          <w:sz w:val="20"/>
          <w:shd w:fill="FFFFFF" w:val="clear"/>
        </w:rPr>
        <w:t>any other securities that would cause a breach or default under the Notes.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shd w:fill="FFFFFF" w:val="clear"/>
        </w:rPr>
        <w:t>AFFIRMATIVE COVENANTS</w:t>
      </w:r>
      <w:r>
        <w:rPr>
          <w:rFonts w:ascii="Times New Roman;Times;Serif" w:hAnsi="Times New Roman;Times;Serif"/>
          <w:b w:val="false"/>
          <w:i w:val="false"/>
          <w:caps w:val="false"/>
          <w:smallCaps w:val="false"/>
          <w:sz w:val="20"/>
          <w:shd w:fill="FFFFFF" w:val="clear"/>
        </w:rPr>
        <w:t xml:space="preserve">. Until all of the Notes have been converted, redeemed or otherwise satisfied in full in accordance with their terms, the Company shall, and the Company shall cause each Subsidiary to, </w:t>
      </w:r>
      <w:r>
        <w:rPr>
          <w:rFonts w:ascii="Times New Roman;Times;Serif" w:hAnsi="Times New Roman;Times;Serif"/>
          <w:b w:val="false"/>
          <w:i w:val="false"/>
          <w:caps w:val="false"/>
          <w:smallCaps w:val="false"/>
          <w:sz w:val="20"/>
        </w:rPr>
        <w:t xml:space="preserve">unless otherwise agreed to by the Required Holders, </w:t>
      </w:r>
      <w:r>
        <w:rPr>
          <w:rFonts w:ascii="Times New Roman;Times;Serif" w:hAnsi="Times New Roman;Times;Serif"/>
          <w:b w:val="false"/>
          <w:i w:val="false"/>
          <w:caps w:val="false"/>
          <w:smallCaps w:val="false"/>
          <w:sz w:val="20"/>
          <w:shd w:fill="FFFFFF" w:val="clear"/>
        </w:rPr>
        <w:t xml:space="preserve">directly and indirectly: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shd w:fill="FFFFFF" w:val="clear"/>
        </w:rPr>
        <w:t>maintain the listing of the Common Stock on an Eligible Market and take all action necessary to maintain such listing;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and preserve its existence, rights and privileges, and all material licenses and permits necessary for the conduct of its business, and become or remain duly qualified and in good standing in each jurisdiction in which the character of the properties owned or leased by it or in which the transaction of its business makes such qualification necessary;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maintain and preserve all of its properties which are necessary or useful in the proper conduct of its business in good working order and condition, ordinary wear and tear excepted, and comply at all times with the provisions of all leases to which it is a party as lessee or under which it occupies property, so as to prevent any loss or forfeiture thereof or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- 16 -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take all action necessary or advisable to maintain all of the Intellectual Property Rights that is necessary or material to the conduct of its business in full force and effect;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cause each existing Subsidiary, within five (5) Business Days of the Issuance Date, and each Subsidiary formed or acquired on or after the Subscription Date, within five (5) Business Days of such formation or acquisition, to execute and deliver to each holder of Notes a full and unconditional guaranty agreement in form and substance reasonably acceptable to the Required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promptly, but in any event within one (1) Business Day, notify the Holder and the holders of the Other Notes in writing whenever an Event of Default occurs (an “</w:t>
      </w:r>
      <w:r>
        <w:rPr>
          <w:rFonts w:ascii="Times New Roman;Times;Serif" w:hAnsi="Times New Roman;Times;Serif"/>
          <w:b/>
          <w:i w:val="false"/>
          <w:caps w:val="false"/>
          <w:smallCaps w:val="false"/>
          <w:sz w:val="20"/>
        </w:rPr>
        <w:t>Event of Default Notice</w:t>
      </w:r>
      <w:r>
        <w:rPr>
          <w:rFonts w:ascii="Times New Roman;Times;Serif" w:hAnsi="Times New Roman;Times;Serif"/>
          <w:b w:val="false"/>
          <w:i w:val="false"/>
          <w:caps w:val="false"/>
          <w:smallCaps w:val="false"/>
          <w:sz w:val="20"/>
        </w:rPr>
        <w:t>”), and simultaneously with the delivery of such notice to the Holder and the holders of the Other Notes, file a Current Report on Form 8-K with the SEC to state such fact; and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timely file (or obtain extensions in respect thereof and file within the applicable grace period) all reports required to be filed by the Company after the Issuance Date pursuant to the Exchange Act, and the Company shall not terminate its status as an issuer required to file reports under the Exchange Act, and shall take all action necessary to maintain “current public information” as defined in Rule 144 promulgated under the Securities Act;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w:t>
      </w:r>
      <w:r>
        <w:rPr>
          <w:rFonts w:ascii="Times New Roman;Times;Serif" w:hAnsi="Times New Roman;Times;Serif"/>
          <w:b w:val="false"/>
          <w:i w:val="false"/>
          <w:caps w:val="false"/>
          <w:smallCaps w:val="false"/>
          <w:sz w:val="20"/>
          <w:u w:val="single"/>
        </w:rPr>
        <w:t>MOST FAVORED NATION</w:t>
      </w:r>
      <w:r>
        <w:rPr>
          <w:rFonts w:ascii="Times New Roman;Times;Serif" w:hAnsi="Times New Roman;Times;Serif"/>
          <w:b w:val="false"/>
          <w:i w:val="false"/>
          <w:caps w:val="false"/>
          <w:smallCaps w:val="false"/>
          <w:sz w:val="20"/>
        </w:rPr>
        <w:t>. If the Company issues any convertible securities or debt with terms more favorable than this Note, the Holder may elect to have such terms apply to this Note. The Holder has sole discretion to choose such terms as it views as more favorable without being required to choose all terms of such subsequent financing.</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w:t>
      </w:r>
      <w:r>
        <w:rPr>
          <w:rFonts w:ascii="Times New Roman;Times;Serif" w:hAnsi="Times New Roman;Times;Serif"/>
          <w:b w:val="false"/>
          <w:i w:val="false"/>
          <w:caps w:val="false"/>
          <w:smallCaps w:val="false"/>
          <w:sz w:val="20"/>
          <w:u w:val="single"/>
        </w:rPr>
        <w:t>VOTE TO ISSUE, OR CHANGE THE TERMS OF, NOTES</w:t>
      </w:r>
      <w:r>
        <w:rPr>
          <w:rFonts w:ascii="Times New Roman;Times;Serif" w:hAnsi="Times New Roman;Times;Serif"/>
          <w:b w:val="false"/>
          <w:i w:val="false"/>
          <w:caps w:val="false"/>
          <w:smallCaps w:val="false"/>
          <w:sz w:val="20"/>
        </w:rPr>
        <w:t>. The affirmative vote at a meeting duly called for such purpose or the written consent without a meeting of the Required Holders shall be required for any exchange, change or amendment or waiver of any provision to this Note or any of the Other Notes. Any exchange, change, amendment or waiver by the Company and the Required Holders shall be binding on the Holder of this Note and all holders of the Other Notes. The Holder hereby acknowledges and agrees that any action taken pursuant to this Section may result in, or be perceived to result in, a disproportionate impact on the Holder compared to the impact of such action on one or more holder(s) of Other Notes. This provision constitutes a separate right granted to each of the holders of Notes by the Company and shall not in any way be construed as such holders acting in concert or as a group with respect to the purchase, disposition or voting of securities or otherwise.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This Note and any shares of Common Stock issued upon conversion of this Note may be offered, sold, assigned or transferred by the Holder without the consent of the Company, subject only to the provisions of Section 4.1 of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- 17 -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w:t>
      </w:r>
      <w:r>
        <w:rPr>
          <w:rFonts w:ascii="Times New Roman;Times;Serif" w:hAnsi="Times New Roman;Times;Serif"/>
          <w:b w:val="false"/>
          <w:i w:val="false"/>
          <w:caps w:val="false"/>
          <w:smallCaps w:val="false"/>
          <w:sz w:val="20"/>
          <w:u w:val="single"/>
        </w:rPr>
        <w:t>REISSUANCE OF THIS NOTE</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If this Note is to be transferred, the Holder shall surrender this Note to the Company, whereupon the Company will forthwith issue and deliver upon the order of the Holder a new Note (in accordance with Section 17(d) and subject to Section 3(c)(iii)), registered as the Holder may request, representing the outstanding Principal being transferred by the Holder and, if less than the entire outstanding Principal is being transferred, a new Note (in accordance with Section 17(d)) to the Holder representing the outstanding Principal not being transferred. The Holder and any assignee, by acceptance of this Note, acknowledge and agree that, by reason of the provisions of Section 3(c)(iii) following conversion or redemption of any portion of this Note, the outstanding Principal represented by this Note may be less than the Principal stated on the face of this Note.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Lost, Stolen or Mutilated Note</w:t>
      </w:r>
      <w:r>
        <w:rPr>
          <w:rFonts w:ascii="Times New Roman;Times;Serif" w:hAnsi="Times New Roman;Times;Serif"/>
          <w:b w:val="false"/>
          <w:i w:val="false"/>
          <w:caps w:val="false"/>
          <w:smallCaps w:val="false"/>
          <w:sz w:val="20"/>
        </w:rPr>
        <w:t>. Upon receipt by the Company of evidence reasonably satisfactory to the Company of the loss, theft, destruction or mutilation of this Note, and, in the case of loss, theft or destruction, of any indemnification undertaking by the Holder to the Company in customary form (but without any obligation to post a surety or other bond) and, in the case of mutilation, upon surrender and cancellation of this Note, the Company shall execute and deliver to the Holder a new Note (in accordance with Section 17(d)) representing the outstanding Principal.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Note Exchangeable for Different Denominations</w:t>
      </w:r>
      <w:r>
        <w:rPr>
          <w:rFonts w:ascii="Times New Roman;Times;Serif" w:hAnsi="Times New Roman;Times;Serif"/>
          <w:b w:val="false"/>
          <w:i w:val="false"/>
          <w:caps w:val="false"/>
          <w:smallCaps w:val="false"/>
          <w:sz w:val="20"/>
        </w:rPr>
        <w:t>. This Note is exchangeable, upon the surrender hereof by the Holder at the principal office of the Company, for a new Note or Notes (in accordance with Section 17(d)) representing in the aggregate the outstanding Principal of this Note, and each such new Note will represent such portion of such outstanding Principal as is designated by the Holder at the time of such surrender.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Issuance of New Notes</w:t>
      </w:r>
      <w:r>
        <w:rPr>
          <w:rFonts w:ascii="Times New Roman;Times;Serif" w:hAnsi="Times New Roman;Times;Serif"/>
          <w:b w:val="false"/>
          <w:i w:val="false"/>
          <w:caps w:val="false"/>
          <w:smallCaps w:val="false"/>
          <w:sz w:val="20"/>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17(a) or Section 17(c),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w:t>
      </w:r>
      <w:r>
        <w:rPr>
          <w:rFonts w:ascii="Times New Roman;Times;Serif" w:hAnsi="Times New Roman;Times;Serif"/>
          <w:b w:val="false"/>
          <w:i w:val="false"/>
          <w:caps w:val="false"/>
          <w:smallCaps w:val="false"/>
          <w:sz w:val="20"/>
          <w:u w:val="single"/>
        </w:rPr>
        <w:t>REMEDIES, CHARACTERIZATIONS, OTHER OBLIGATIONS, BREACHES AND INJUNCTIVE RELIEF</w:t>
      </w:r>
      <w:r>
        <w:rPr>
          <w:rFonts w:ascii="Times New Roman;Times;Serif" w:hAnsi="Times New Roman;Times;Serif"/>
          <w:b w:val="false"/>
          <w:i w:val="false"/>
          <w:caps w:val="false"/>
          <w:smallCaps w:val="false"/>
          <w:sz w:val="20"/>
        </w:rPr>
        <w:t xml:space="preserve">. The remedies provided in this Note shall be cumulative and in addition to all other remedies available under this Note and any of the other Transaction Documents at law or in equity (including a decree of specific performance and/or other injunctive relief). </w:t>
      </w:r>
      <w:r>
        <w:rPr>
          <w:rFonts w:ascii="Times New Roman;Times;Serif" w:hAnsi="Times New Roman;Times;Serif"/>
          <w:b w:val="false"/>
          <w:i w:val="false"/>
          <w:caps w:val="false"/>
          <w:smallCaps w:val="false"/>
          <w:sz w:val="20"/>
          <w:shd w:fill="FFFFFF" w:val="clear"/>
        </w:rPr>
        <w:t>No remedy contained herein shall be deemed a waiver of compliance with the provisions giving rise to such remedy. Nothing</w:t>
      </w:r>
      <w:r>
        <w:rPr>
          <w:rFonts w:ascii="Times New Roman;Times;Serif" w:hAnsi="Times New Roman;Times;Serif"/>
          <w:b w:val="false"/>
          <w:i w:val="false"/>
          <w:caps w:val="false"/>
          <w:smallCaps w:val="false"/>
          <w:sz w:val="20"/>
        </w:rPr>
        <w:t xml:space="preserve"> herein shall limit the Holder’s right to pursue actual and consequential damages for any failure by the Company to comply with the terms of this Note. The Company covenants to the Holder that there shall be no characterization concerning this instrument other than as expressly provided herein. Amounts set forth or provided for herein with respect to payments, conversion,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- 18 -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w:t>
      </w:r>
      <w:r>
        <w:rPr>
          <w:rFonts w:ascii="Times New Roman;Times;Serif" w:hAnsi="Times New Roman;Times;Serif"/>
          <w:b w:val="false"/>
          <w:i w:val="false"/>
          <w:caps w:val="false"/>
          <w:smallCaps w:val="false"/>
          <w:sz w:val="20"/>
          <w:u w:val="single"/>
        </w:rPr>
        <w:t>PAYMENT OF COLLECTION, ENFORCEMENT AND OTHER COSTS</w:t>
      </w:r>
      <w:r>
        <w:rPr>
          <w:rFonts w:ascii="Times New Roman;Times;Serif" w:hAnsi="Times New Roman;Times;Serif"/>
          <w:b w:val="false"/>
          <w:i w:val="false"/>
          <w:caps w:val="false"/>
          <w:smallCaps w:val="false"/>
          <w:sz w:val="20"/>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 The Company expressly acknowledges and agrees that no amounts due under this Note shall be affected, or limited, by the fact that the purchase price paid for this Note was less than the original Principal amount hereof.</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CONSTRUCTION; HEADINGS</w:t>
      </w:r>
      <w:r>
        <w:rPr>
          <w:rFonts w:ascii="Times New Roman;Times;Serif" w:hAnsi="Times New Roman;Times;Serif"/>
          <w:b w:val="false"/>
          <w:i w:val="false"/>
          <w:caps w:val="false"/>
          <w:smallCaps w:val="false"/>
          <w:sz w:val="20"/>
        </w:rPr>
        <w:t>. This Note shall be deemed to be jointly drafted by the Company and all the Purchasers and shall not be construed against any Person as the drafter hereof. The headings of this Note are for convenience of reference and shall not form part of, or affect the interpretation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FAILURE OR INDULGENCE NOT WAIVER</w:t>
      </w:r>
      <w:r>
        <w:rPr>
          <w:rFonts w:ascii="Times New Roman;Times;Serif" w:hAnsi="Times New Roman;Times;Serif"/>
          <w:b w:val="false"/>
          <w:i w:val="false"/>
          <w:caps w:val="false"/>
          <w:smallCaps w:val="false"/>
          <w:sz w:val="20"/>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 No waiver shall be effective unless it is in writing and signed by an authorized representative of the waiving party.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DISPUTE RESOLUTION</w:t>
      </w:r>
      <w:r>
        <w:rPr>
          <w:rFonts w:ascii="Times New Roman;Times;Serif" w:hAnsi="Times New Roman;Times;Serif"/>
          <w:b w:val="false"/>
          <w:i w:val="false"/>
          <w:caps w:val="false"/>
          <w:smallCaps w:val="false"/>
          <w:sz w:val="20"/>
        </w:rPr>
        <w:t>. In the case of a dispute as to the determination of the Closing Bid Price or the Closing Sale Price or the arithmetic calculation of the Conversion Rate, the Conversion Price or any Redemption Price, the Company shall pay the applicable Redemption Price that is not disputed or shall cause the Transfer Agent to issue to the Holder the number of shares of Common Stock that is not disputed, and the Company shall submit the disputed determinations or arithmetic calculations via electronic mail within one (1) Business Day of receipt, or deemed receipt, of the Conversion Notice or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electronic mail (a) the disputed determination of the Closing Bid Price or the Closing Sale Price to an independent, reputable investment bank selected by the Holder and approved by the Company, such approval not to be unreasonably withheld, conditioned or delayed, or (b) the disputed arithmetic calculation of the Conversion Rate, Conversion Price or any Redemption Price to an independent, outside accountant, selected by the Holder and approved by the Company, such approval not to be unreasonably withheld, conditioned or delayed. The Company, at the Company’s expense, shall cause the investment bank or the accountant, as the case may be, to perform the determinations or calculations and notify the Company and the Holder of the results no later than five (5) Business Days from the time it receives the disputed determinations or calculations. Such investment bank’s or accountant’s determination or calculation, as the case may be, shall be binding upon all parties absent demonstrable error.</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w:t>
      </w:r>
      <w:r>
        <w:rPr>
          <w:rFonts w:ascii="Times New Roman;Times;Serif" w:hAnsi="Times New Roman;Times;Serif"/>
          <w:b w:val="false"/>
          <w:i w:val="false"/>
          <w:caps w:val="false"/>
          <w:smallCaps w:val="false"/>
          <w:sz w:val="20"/>
          <w:u w:val="single"/>
        </w:rPr>
        <w:t>NOTICES; PAYMENTS</w:t>
      </w:r>
      <w:r>
        <w:rPr>
          <w:rFonts w:ascii="Times New Roman;Times;Serif" w:hAnsi="Times New Roman;Times;Serif"/>
          <w:b w:val="false"/>
          <w:i w:val="false"/>
          <w:caps w:val="false"/>
          <w:smallCaps w:val="false"/>
          <w:sz w:val="20"/>
        </w:rPr>
        <w: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Whenever notice is required to be given under this Note, unless otherwise provided herein, such notice shall be given in accordance with Section 5.4 of the Purchase Agreement. The Company shall provide the Holder with prompt written notice of all actions taken pursuant to this Note, including in reasonable detail a description of such action and the reason therefor. Without limiting the generality of the foregoing, the Company shall give written notice to the Holder (i) immediately upon any adjustment of the Conversion Price, setting forth in reasonable detail, and certifying, the calculation of such adjustment and (ii) at least twenty (20) Business Days prior to the date on which the Company closes its books or takes a record (A) with respect to any dividend or distribution upon the shares of Common Stock, (B) with respect to any grants, issuances or sales of any Options, Convertible Securities or rights to purchase stock, warrants, securities or other property to holders of shares of Common Stock or (C) for determining rights to vote with respect to any Fundamental Transaction, dissolution or liquidation, provided in each case that such information shall be made known to the public prior to or in conjunction with such notice being provided to the Holder.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- 19 -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Payments</w:t>
      </w:r>
      <w:r>
        <w:rPr>
          <w:rFonts w:ascii="Times New Roman;Times;Serif" w:hAnsi="Times New Roman;Times;Serif"/>
          <w:b w:val="false"/>
          <w:i w:val="false"/>
          <w:caps w:val="false"/>
          <w:smallCaps w:val="false"/>
          <w:sz w:val="20"/>
        </w:rPr>
        <w:t xml:space="preserve">. Whenever any payment of cash is to be made by the Company to any Person pursuant to this Note, such payment shall be made in lawful money of the United States of America via wire transfer of immediately available funds to an account designated by the Holder;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the Holder, upon written notice to the Company, may elect to receive a payment of cash in lawful money of the United States of America by a check drawn on the account of the Company and sent via overnight courier service to such Person at such address as previously provided to the Company in writing (which address, in the case of each of the Purchasers, shall initially be as set forth on the signature pages attached to the Purchase Agreement). Whenever any amount expressed to be due by the terms of this Note is due on any day which is not a Business Day, the same shall instead be due on the next succeeding day which is a Business Day. Any amount of Principal or other amounts due under the Transaction Documents which is not paid when due shall result in a late charge being incurred and payable by the Company in an amount equal to interest on such amount at the rate of twelve percent (12.0%) per annum from the date such amount was due until the same is paid in full (“</w:t>
      </w:r>
      <w:r>
        <w:rPr>
          <w:rFonts w:ascii="Times New Roman;Times;Serif" w:hAnsi="Times New Roman;Times;Serif"/>
          <w:b/>
          <w:i w:val="false"/>
          <w:caps w:val="false"/>
          <w:smallCaps w:val="false"/>
          <w:sz w:val="20"/>
        </w:rPr>
        <w:t>Late Charges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w:t>
      </w:r>
      <w:r>
        <w:rPr>
          <w:rFonts w:ascii="Times New Roman;Times;Serif" w:hAnsi="Times New Roman;Times;Serif"/>
          <w:b w:val="false"/>
          <w:i w:val="false"/>
          <w:caps w:val="false"/>
          <w:smallCaps w:val="false"/>
          <w:sz w:val="20"/>
          <w:u w:val="single"/>
        </w:rPr>
        <w:t>CANCELLATION</w:t>
      </w:r>
      <w:r>
        <w:rPr>
          <w:rFonts w:ascii="Times New Roman;Times;Serif" w:hAnsi="Times New Roman;Times;Serif"/>
          <w:b w:val="false"/>
          <w:i w:val="false"/>
          <w:caps w:val="false"/>
          <w:smallCaps w:val="false"/>
          <w:sz w:val="20"/>
        </w:rPr>
        <w:t>. After all Principal, any accrued Interest and any other amounts at any time owed on this Note have been paid in full, this Note shall automatically be deemed canceled and shall not be reissued, sold or transferred.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w:t>
      </w:r>
      <w:r>
        <w:rPr>
          <w:rFonts w:ascii="Times New Roman;Times;Serif" w:hAnsi="Times New Roman;Times;Serif"/>
          <w:b w:val="false"/>
          <w:i w:val="false"/>
          <w:caps w:val="false"/>
          <w:smallCaps w:val="false"/>
          <w:sz w:val="20"/>
          <w:u w:val="single"/>
        </w:rPr>
        <w:t>WAIVER OF NOTICE</w:t>
      </w:r>
      <w:r>
        <w:rPr>
          <w:rFonts w:ascii="Times New Roman;Times;Serif" w:hAnsi="Times New Roman;Times;Serif"/>
          <w:b w:val="false"/>
          <w:i w:val="false"/>
          <w:caps w:val="false"/>
          <w:smallCaps w:val="false"/>
          <w:sz w:val="20"/>
        </w:rPr>
        <w:t>. To the extent permitted by law, the Company hereby waives demand, notice, protest and all other demands and notices in connection with the delivery, acceptance, performance, default or enforcement of this Note and the Purchase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w:t>
      </w:r>
      <w:r>
        <w:rPr>
          <w:rFonts w:ascii="Times New Roman;Times;Serif" w:hAnsi="Times New Roman;Times;Serif"/>
          <w:b w:val="false"/>
          <w:i w:val="false"/>
          <w:caps w:val="false"/>
          <w:smallCaps w:val="false"/>
          <w:sz w:val="20"/>
          <w:u w:val="single"/>
        </w:rPr>
        <w:t>GOVERNING LAW; JURISDICTION; JURY TRIAL</w:t>
      </w:r>
      <w:r>
        <w:rPr>
          <w:rFonts w:ascii="Times New Roman;Times;Serif" w:hAnsi="Times New Roman;Times;Serif"/>
          <w:b w:val="false"/>
          <w:i w:val="false"/>
          <w:caps w:val="false"/>
          <w:smallCaps w:val="false"/>
          <w:sz w:val="20"/>
        </w:rPr>
        <w:t xml:space="preserve">. This Note shall be governed by and construed and enforced in accordance with, and all questions concerning the construction, validity, interpretation and performance of this Note shall be governed by, the internal laws of the State of Delaware, without giving effect to any choice of law or conflict of law provision or rule (whether of the State of Delaware or any other jurisdictions) that would cause the application of the laws of any jurisdictions other than the State of Delaware; provided that procedural matters shall be governed by the procedural laws of the forum in which any dispute is adjudicated. The Company hereby irrevocably submits to the exclusive jurisdiction of the Court of Chancery of the State of Delaware or, if such court lacks jurisdiction, the Superior Court of the State of Delaware, or the United States District Court for the District of Delaware,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the Company at the address set forth on the Company’s signature page attached to the Purchase Agreement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Times New Roman;Times;Serif" w:hAnsi="Times New Roman;Times;Serif"/>
          <w:b/>
          <w:i w:val="false"/>
          <w:caps w:val="false"/>
          <w:smallCaps w:val="false"/>
          <w:sz w:val="20"/>
        </w:rPr>
        <w:t>EACH OF THE COMPANY AND THE HOLDER HEREBY IRREVOCABLY WAIVES ANY RIGHT IT OR THEY MAY HAVE TO, AND AGREES NOT TO REQUEST, A JURY TRIAL FOR THE ADJUDICATION OF ANY DISPUTE HEREUNDER OR IN CONNECTION WITH OR ARISING OUT OF THIS NOTE OR ANY TRANSACTION CONTEMPLATED HEREBY.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- 20 -</w:t>
      </w:r>
    </w:p>
    <w:p>
      <w:pPr>
        <w:pStyle w:val="TextBody"/>
        <w:bidi w:val="0"/>
        <w:spacing w:before="0" w:after="0"/>
        <w:jc w:val="center"/>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w:t>
      </w:r>
      <w:r>
        <w:rPr>
          <w:rFonts w:ascii="Times New Roman;Times;Serif" w:hAnsi="Times New Roman;Times;Serif"/>
          <w:b w:val="false"/>
          <w:i w:val="false"/>
          <w:caps/>
          <w:sz w:val="20"/>
          <w:u w:val="single"/>
        </w:rPr>
        <w:t>Severability</w:t>
      </w:r>
      <w:r>
        <w:rPr>
          <w:rFonts w:ascii="Times New Roman;Times;Serif" w:hAnsi="Times New Roman;Times;Serif"/>
          <w:b w:val="false"/>
          <w:i w:val="false"/>
          <w:caps w:val="false"/>
          <w:smallCaps w:val="false"/>
          <w:sz w:val="20"/>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Company and the Holder as to the subject matter hereof and the prohibited nature, invalidity or unenforceability of the provision(s) in question does not substantially impair the respective expectations or reciprocal obligations of the Company or the Holder or the practical realization of the benefits that would otherwise be conferred upon the Company or the Holder. The Company and the Holder will endeavor in good faith negotiations to replace the prohibited, invalid or unenforceable provision(s) with a valid provision(s), the effect of which comes as close as possible to that of the prohibited, invalid or unenforceable provision(s).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Upon receipt or delivery by the Company of any notice in accordance with the terms of this Note, unless the Company has in good faith determined that the matters relating to such notice do not constitute material, nonpublic information relating to the Company or its Subsidiaries, the Company shall contemporaneously with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the Holder contemporaneously with delivery of such notice, and in the absence of any such indication, the Holder shall be allowed to presume that all matters relating to such notice do not constitute material, nonpublic information relating to the Company or its Subsidiaries.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w:t>
      </w:r>
      <w:r>
        <w:rPr>
          <w:rFonts w:ascii="Times New Roman;Times;Serif" w:hAnsi="Times New Roman;Times;Serif"/>
          <w:b w:val="false"/>
          <w:i w:val="false"/>
          <w:caps w:val="false"/>
          <w:smallCaps w:val="false"/>
          <w:sz w:val="20"/>
          <w:u w:val="single"/>
          <w:shd w:fill="FFFFFF" w:val="clear"/>
        </w:rPr>
        <w:t>USURY</w:t>
      </w:r>
      <w:r>
        <w:rPr>
          <w:rFonts w:ascii="Times New Roman;Times;Serif" w:hAnsi="Times New Roman;Times;Serif"/>
          <w:b w:val="false"/>
          <w:i w:val="false"/>
          <w:caps w:val="false"/>
          <w:smallCaps w:val="false"/>
          <w:sz w:val="20"/>
          <w:shd w:fill="FFFFFF" w:val="clear"/>
        </w:rPr>
        <w:t>. This Note is subject to the express condition that at no time shall the Company be obligated or required to pay interest hereunder (including, for the avoidance of doubt, any original issue discount, fees, charges, or other amounts deemed to constitute interest under applicable law) at a rate or in an amount which could subject the Holder to either civil or criminal liability as a result of being in excess of the maximum interest rate or amount which the Company is permitted by applicable law to contract or agree to pay. If by the terms of this Note, the Company is at any time required or obligated to pay interest hereunder, including by way of an original issue discount, at a rate or in an amount in excess of such maximum rate or amount, the rate or amount of interest under this Note shall be deemed to be immediately reduced to such maximum rate or amount and the interest payable shall be computed at such maximum rate or be in such maximum amount and all prior interest payments in excess of such maximum rate or amount shall be applied and shall be deemed to have been payments in reduction of the principal balance of this Note.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CERTAIN DEFINITIONS</w:t>
      </w:r>
      <w:r>
        <w:rPr>
          <w:rFonts w:ascii="Times New Roman;Times;Serif" w:hAnsi="Times New Roman;Times;Serif"/>
          <w:b w:val="false"/>
          <w:i w:val="false"/>
          <w:caps w:val="false"/>
          <w:smallCaps w:val="false"/>
          <w:sz w:val="20"/>
        </w:rPr>
        <w:t>. For purposes of this Note, the following terms shall have the following meanings: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i w:val="false"/>
          <w:caps w:val="false"/>
          <w:smallCaps w:val="false"/>
          <w:sz w:val="20"/>
        </w:rPr>
        <w:t>Affiliate</w:t>
      </w:r>
      <w:r>
        <w:rPr>
          <w:rFonts w:ascii="Times New Roman;Times;Serif" w:hAnsi="Times New Roman;Times;Serif"/>
          <w:b w:val="false"/>
          <w:i w:val="false"/>
          <w:caps w:val="false"/>
          <w:smallCaps w:val="false"/>
          <w:sz w:val="20"/>
        </w:rPr>
        <w:t>” shall have the meaning ascribed to such term in Rule 405 of the Securities Act.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i w:val="false"/>
          <w:caps w:val="false"/>
          <w:smallCaps w:val="false"/>
          <w:sz w:val="20"/>
        </w:rPr>
        <w:t>Attribution Parties</w:t>
      </w:r>
      <w:r>
        <w:rPr>
          <w:rFonts w:ascii="Times New Roman;Times;Serif" w:hAnsi="Times New Roman;Times;Serif"/>
          <w:b w:val="false"/>
          <w:i w:val="false"/>
          <w:caps w:val="false"/>
          <w:smallCaps w:val="false"/>
          <w:sz w:val="20"/>
        </w:rPr>
        <w:t>” means, collectively, the following Persons: (i) any investment vehicle, including, any funds, feeder funds or managed accounts, currently, or from time to time after the Issuance Date, directly or indirectly managed or advised by the Holder’s investment manager or any of its Affiliates or principals, (ii) any direct or indirect Affiliates of the Holder or any of the foregoing, (iii) any Person acting or who could be deemed to be acting as a Group together with the Holder or any of the foregoing and (iv) any other Person whose beneficial ownership of the Common Stock would or could be aggregated with the Holder’s and the other Attribution Parties for purposes of Section 13(d) of the Exchange Act. For clarity, the purpose of the foregoing is to subject collectively the Holder and all other Attribution Parties to the Maximum Percentage.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- 21 -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i w:val="false"/>
          <w:caps w:val="false"/>
          <w:smallCaps w:val="false"/>
          <w:sz w:val="20"/>
        </w:rPr>
        <w:t>Bloomberg</w:t>
      </w:r>
      <w:r>
        <w:rPr>
          <w:rFonts w:ascii="Times New Roman;Times;Serif" w:hAnsi="Times New Roman;Times;Serif"/>
          <w:b w:val="false"/>
          <w:i w:val="false"/>
          <w:caps w:val="false"/>
          <w:smallCaps w:val="false"/>
          <w:sz w:val="20"/>
        </w:rPr>
        <w:t>” means Bloomberg Financial Markets.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i w:val="false"/>
          <w:caps w:val="false"/>
          <w:smallCaps w:val="false"/>
          <w:sz w:val="20"/>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New York generally are open for use by customers on such day.</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i w:val="false"/>
          <w:caps w:val="false"/>
          <w:smallCaps w:val="false"/>
          <w:sz w:val="20"/>
        </w:rPr>
        <w:t>Calendar Quarter</w:t>
      </w:r>
      <w:r>
        <w:rPr>
          <w:rFonts w:ascii="Times New Roman;Times;Serif" w:hAnsi="Times New Roman;Times;Serif"/>
          <w:b w:val="false"/>
          <w:i w:val="false"/>
          <w:caps w:val="false"/>
          <w:smallCaps w:val="false"/>
          <w:sz w:val="20"/>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i w:val="false"/>
          <w:caps w:val="false"/>
          <w:smallCaps w:val="false"/>
          <w:sz w:val="20"/>
        </w:rPr>
        <w:t>Change of Control</w:t>
      </w:r>
      <w:r>
        <w:rPr>
          <w:rFonts w:ascii="Times New Roman;Times;Serif" w:hAnsi="Times New Roman;Times;Serif"/>
          <w:b w:val="false"/>
          <w:i w:val="false"/>
          <w:caps w:val="false"/>
          <w:smallCaps w:val="false"/>
          <w:sz w:val="20"/>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the holders of a majority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 provided that notwithstanding the foregoing HOD Merger, shall not be deemed a Change of Control.</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i w:val="false"/>
          <w:caps w:val="false"/>
          <w:smallCaps w:val="false"/>
          <w:sz w:val="20"/>
        </w:rPr>
        <w:t>Closing Bid Price</w:t>
      </w:r>
      <w:r>
        <w:rPr>
          <w:rFonts w:ascii="Times New Roman;Times;Serif" w:hAnsi="Times New Roman;Times;Serif"/>
          <w:b w:val="false"/>
          <w:i w:val="false"/>
          <w:caps w:val="false"/>
          <w:smallCaps w:val="false"/>
          <w:sz w:val="20"/>
        </w:rPr>
        <w:t>” and “</w:t>
      </w:r>
      <w:r>
        <w:rPr>
          <w:rFonts w:ascii="Times New Roman;Times;Serif" w:hAnsi="Times New Roman;Times;Serif"/>
          <w:b/>
          <w:i w:val="false"/>
          <w:caps w:val="false"/>
          <w:smallCaps w:val="false"/>
          <w:sz w:val="20"/>
        </w:rPr>
        <w:t>Closing Sale Price</w:t>
      </w:r>
      <w:r>
        <w:rPr>
          <w:rFonts w:ascii="Times New Roman;Times;Serif" w:hAnsi="Times New Roman;Times;Serif"/>
          <w:b w:val="false"/>
          <w:i w:val="false"/>
          <w:caps w:val="false"/>
          <w:smallCaps w:val="false"/>
          <w:sz w:val="20"/>
        </w:rPr>
        <w:t>” means, for any security as of any date, the last closing bid price and last closing trade price, respectively, for such security on the Principal Market, as reported by Bloomberg, or, if the Principal Market begins to operate on an extended hours basis and does not designate the closing bid price or the closing trade price, as the case may be, then the last bid price or last trade price, respectively, of such security prior to 4:00:00 p.m., New York Time, as reported by Bloomberg, or, if the Principal Market is not the principal securities exchange or trading market for such security, the last closing bid price or last trade price, respectively, of such security on the principal securities exchange or trading market where such security is listed or traded as reported by Bloomberg, or if the foregoing do not apply, the last closing bid price or last trade price, respectively, of such security in the over-the-counter market on the electronic bulletin board for such security as reported by Bloomberg, or, if no closing bid price or last trade price, respectively, is reported for such security by Bloomberg, the average of the bid prices, or the ask prices, respectively, of any market makers for such security as reported on the Pink Open Market (f/k/a OTC Pink) published by OTC Markets Group, Inc. (or a similar organization or agency succeeding to its functions of reporting prices). If the Closing Bid Price or the Closing Sale Price cannot be calculated for a security on a particular date on any of the foregoing bases, the Closing Bid Price or the Closing Sale Price, as the case may be, of such security on such date shall be the fair market value as mutually determined by the Company and the Holder. If the Company and the Holder are unable to agree upon the fair market value of such security, then such dispute shall be resolved pursuant to Section 22. All such determinations to be appropriately adjusted for any stock dividend, stock split, stock combination, reclassification or other similar transaction relating to the Common Stock during the applicable calculation period.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- 22 -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i w:val="false"/>
          <w:caps w:val="false"/>
          <w:smallCaps w:val="false"/>
          <w:sz w:val="20"/>
        </w:rPr>
        <w:t>Closing Date</w:t>
      </w:r>
      <w:r>
        <w:rPr>
          <w:rFonts w:ascii="Times New Roman;Times;Serif" w:hAnsi="Times New Roman;Times;Serif"/>
          <w:b w:val="false"/>
          <w:i w:val="false"/>
          <w:caps w:val="false"/>
          <w:smallCaps w:val="false"/>
          <w:sz w:val="20"/>
        </w:rPr>
        <w:t>” shall have the meaning set forth in the Purchase Agreement, which date is the date the Company initially issued Notes pursuant to the terms of the Purchase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means (i) the Company’s shares of common stock, par value $0.0001 per share, and (ii) any capital stock into which such Common Stock shall be changed or any capital stock resulting from a reorganization, recapitalization or reclassification of such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i w:val="false"/>
          <w:caps w:val="false"/>
          <w:smallCaps w:val="false"/>
          <w:sz w:val="20"/>
        </w:rPr>
        <w:t>Contingent Obligation</w:t>
      </w:r>
      <w:r>
        <w:rPr>
          <w:rFonts w:ascii="Times New Roman;Times;Serif" w:hAnsi="Times New Roman;Times;Serif"/>
          <w:b w:val="false"/>
          <w:i w:val="false"/>
          <w:caps w:val="false"/>
          <w:smallCaps w:val="false"/>
          <w:sz w:val="20"/>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i w:val="false"/>
          <w:caps w:val="false"/>
          <w:smallCaps w:val="false"/>
          <w:sz w:val="20"/>
        </w:rPr>
        <w:t>Conversion Shares</w:t>
      </w:r>
      <w:r>
        <w:rPr>
          <w:rFonts w:ascii="Times New Roman;Times;Serif" w:hAnsi="Times New Roman;Times;Serif"/>
          <w:b w:val="false"/>
          <w:i w:val="false"/>
          <w:caps w:val="false"/>
          <w:smallCaps w:val="false"/>
          <w:sz w:val="20"/>
        </w:rPr>
        <w:t>” means shares of Common Stock issuable by the Company pursuant to the terms of any of the Notes, including any related Interest and Late Charges so converted.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i w:val="false"/>
          <w:caps w:val="false"/>
          <w:smallCaps w:val="false"/>
          <w:sz w:val="20"/>
        </w:rPr>
        <w:t>Convertible Securities</w:t>
      </w:r>
      <w:r>
        <w:rPr>
          <w:rFonts w:ascii="Times New Roman;Times;Serif" w:hAnsi="Times New Roman;Times;Serif"/>
          <w:b w:val="false"/>
          <w:i w:val="false"/>
          <w:caps w:val="false"/>
          <w:smallCaps w:val="false"/>
          <w:sz w:val="20"/>
        </w:rPr>
        <w:t>” means any stock or securities (other than Options) directly or indirectly convertible into or exercisable or exchangeable for shares of Common Stock.</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Eligible Market</w:t>
      </w:r>
      <w:r>
        <w:rPr>
          <w:rFonts w:ascii="Times New Roman;Times;Serif" w:hAnsi="Times New Roman;Times;Serif"/>
          <w:b w:val="false"/>
          <w:i w:val="false"/>
          <w:caps w:val="false"/>
          <w:smallCaps w:val="false"/>
          <w:sz w:val="20"/>
        </w:rPr>
        <w:t>” means the Principal Market, The New York Stock Exchange, The Nasdaq Global Market, The Nasdaq Global Select Market or the NYSE American.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i w:val="false"/>
          <w:caps w:val="false"/>
          <w:smallCaps w:val="false"/>
          <w:sz w:val="20"/>
        </w:rPr>
        <w:t>Equity Interests</w:t>
      </w:r>
      <w:r>
        <w:rPr>
          <w:rFonts w:ascii="Times New Roman;Times;Serif" w:hAnsi="Times New Roman;Times;Serif"/>
          <w:b w:val="false"/>
          <w:i w:val="false"/>
          <w:caps w:val="false"/>
          <w:smallCaps w:val="false"/>
          <w:sz w:val="20"/>
        </w:rPr>
        <w:t>” means (a) all shares of capital stock (whether denominated as common capital stock or preferred capital stock), equity interests, beneficial, partnership or membership interests, joint venture interests, participations or other ownership or profit interests in or equivalents (regardless of how designated) of or in a Person (other than an individual), whether voting or non-voting and (b) all securities convertible into or exchangeable for any of the foregoing and all warrants, Options or other rights to purchase, subscribe for or otherwise acquire any of the foregoing, whether or not presently convertible, exchangeable or exercisable.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means the Securities Exchange Act of 1934,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- 23 -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i w:val="false"/>
          <w:caps w:val="false"/>
          <w:smallCaps w:val="false"/>
          <w:sz w:val="20"/>
        </w:rPr>
        <w:t>Fundamental Transaction</w:t>
      </w:r>
      <w:r>
        <w:rPr>
          <w:rFonts w:ascii="Times New Roman;Times;Serif" w:hAnsi="Times New Roman;Times;Serif"/>
          <w:b w:val="false"/>
          <w:i w:val="false"/>
          <w:caps w:val="false"/>
          <w:smallCaps w:val="false"/>
          <w:sz w:val="20"/>
        </w:rPr>
        <w:t>” means (A) that the Company shall, directly or indirectly, including through Subsidiaries, Affiliates or otherwise, in one or more related transactions, (i) consolidate or merge with or into (whether or not the Company is the surviving corporation) another Subject Entity, or (ii) sell, assign, transfer, convey or otherwise dispose of all or substantially all of the properties or assets of the Company or any of its “significant subsidiaries” (as defined in Rule 1-02 of Regulation S-X) to one or more Subject Entities, or (iii) make, or allow one or more Subject Entities to make, or allow the Company to be subject to or have its Common Stock be subject to or party to one or more Subject Entities making, a purchase, tender or exchange offer that is accepted by the holders of at least either (x) 50% of the outstanding shares of Common Stock, (y) 50% of the outstanding shares of Common Stock calculated as if any shares of Common Stock held by all Subject Entities making or party to, or Affiliated with any Subject Entities making or party to, such purchase, tender or exchange offer were not outstanding; or (z) such number of shares of Common Stock such that all Subject Entities making or party to, or Affiliated with any Subject Entity making or party to, such purchase, tender or exchange offer, become collectively the beneficial owners (as defined in Rule 13d-3 under the Exchange Act) of at least 50% of the outstanding shares of Common Stock, or (iv) consummate a stock purchase agreement or other business combination (including, without limitation, a reorganization, recapitalization, spin-off or scheme of arrangement) with one or more Subject Entities whereby such Subject Entities, individually or in the aggregate, acquire, either (x) at least 50% of the outstanding shares of Common Stock, (y) at least 50% of the outstanding shares of Common Stock calculated as if any shares of Common Stock held by all the Subject Entities making or party to, or Affiliated with any Subject Entity making or party to, such stock purchase agreement or other business combination were not outstanding; or (z) such number of shares of Common Stock such that the Subject Entities become collectively the beneficial owners (as defined in Rule 13d-3 under the Exchange Act) of at least 50% of the outstanding shares of Common Stock, or (v) reorganize, recapitalize or reclassify its Common Stock, (B) that the Company shall, directly or indirectly, including through Subsidiaries, Affiliates or otherwise, in one or more related transactions allow any Subject Entity individually or the Subject Entities in the aggregate to be or become the “beneficial owner” (as defined in Rule 13d-3 under the Exchange Act), directly or indirectly, whether through acquisition, purchase, assignment, conveyance, tender, tender offer, exchange, reduction in outstanding shares of Common Stock, merger, consolidation, business combination, reorganization, recapitalization, spin-off, scheme of arrangement, reorganization, recapitalization or reclassification or otherwise in any manner whatsoever, of either (x) at least 50% of the aggregate ordinary voting power represented by issued and outstanding Common Stock, (y) at least 50% of the aggregate ordinary voting power represented by issued and outstanding Common Stock not held by all such Subject Entities as of the Subscription Date calculated as if any shares of Common Stock held by all such Subject Entities were not outstanding, or (z) a percentage of the aggregate ordinary voting power represented by issued and outstanding shares of Common Stock or other equity securities of the Company sufficient to allow such Subject Entities to effect a statutory short form merger or other transaction requiring other stockholders of the Company to surrender their shares of Common Stock without approval of the stockholders of the Company or (C) that the Company shall, directly or indirectly, including through Subsidiaries, Affiliates or otherwise, in one or more related transactions, the issuance of or the entering into any other instrument or transaction structured in a manner to circumvent, or that circumvents, the intent of this definition in which case this definition shall be construed and implemented in a manner otherwise than in strict conformity with the terms of this definition to the extent necessary to correct this definition or any portion of this definition which may be defective or inconsistent with the intended treatment of such instrument or transaction; provided that notwithstanding the foregoing the HOD Merger, shall not be deemed a Fundamental Transaction.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i w:val="false"/>
          <w:caps w:val="false"/>
          <w:smallCaps w:val="false"/>
          <w:sz w:val="20"/>
        </w:rPr>
        <w:t>GAAP</w:t>
      </w:r>
      <w:r>
        <w:rPr>
          <w:rFonts w:ascii="Times New Roman;Times;Serif" w:hAnsi="Times New Roman;Times;Serif"/>
          <w:b w:val="false"/>
          <w:i w:val="false"/>
          <w:caps w:val="false"/>
          <w:smallCaps w:val="false"/>
          <w:sz w:val="20"/>
        </w:rPr>
        <w:t>” means United States generally accepted accounting principles, consistently applied during the periods involved.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i w:val="false"/>
          <w:caps w:val="false"/>
          <w:smallCaps w:val="false"/>
          <w:sz w:val="20"/>
        </w:rPr>
        <w:t>Group</w:t>
      </w:r>
      <w:r>
        <w:rPr>
          <w:rFonts w:ascii="Times New Roman;Times;Serif" w:hAnsi="Times New Roman;Times;Serif"/>
          <w:b w:val="false"/>
          <w:i w:val="false"/>
          <w:caps w:val="false"/>
          <w:smallCaps w:val="false"/>
          <w:sz w:val="20"/>
        </w:rPr>
        <w:t>” means a “group” as that term is used in Section 13(d) of the Exchange Act and as defined in Rule 13d-5 thereunder.</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- 24 -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i w:val="false"/>
          <w:caps w:val="false"/>
          <w:smallCaps w:val="false"/>
          <w:sz w:val="20"/>
        </w:rPr>
        <w:t>Indebtedness</w:t>
      </w:r>
      <w:r>
        <w:rPr>
          <w:rFonts w:ascii="Times New Roman;Times;Serif" w:hAnsi="Times New Roman;Times;Serif"/>
          <w:b w:val="false"/>
          <w:i w:val="false"/>
          <w:caps w:val="false"/>
          <w:smallCaps w:val="false"/>
          <w:sz w:val="20"/>
        </w:rPr>
        <w:t>” of any Person means, without duplication (i) all indebtedness for borrowed money, (ii) all obligations issued, undertaken or assumed as the deferred purchase price of property or services, including (without limitation) “finance leases” in accordance with GAAP (other than trade payables entered into in the ordinary course of business consistent with past practice),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is classified as a finance lease, (vii) all indebtedness referred to in clauses (i) through (vi) above secured by (or for which the holder of such Indebtedness has an existing right, contingent or otherwise, to be secured by) any mortgage, deed of trust, lien, pledge, charge, security interest or other encumbrance of any nature whatsoever in or upon any property or assets (including accounts and contract rights) with respect to any asset or property owned by any Person, even though the Person which owns such assets or property has not assumed or become liable for the payment of such indebtedness, and (vii) all Contingent Obligations in respect of indebtedness or obligations of others of the kinds referred to in clauses (i) through (vii) above.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i w:val="false"/>
          <w:caps w:val="false"/>
          <w:smallCaps w:val="false"/>
          <w:sz w:val="20"/>
        </w:rPr>
        <w:t>Intellectual Property Rights</w:t>
      </w:r>
      <w:r>
        <w:rPr>
          <w:rFonts w:ascii="Times New Roman;Times;Serif" w:hAnsi="Times New Roman;Times;Serif"/>
          <w:b w:val="false"/>
          <w:i w:val="false"/>
          <w:caps w:val="false"/>
          <w:smallCaps w:val="false"/>
          <w:sz w:val="20"/>
        </w:rPr>
        <w:t>” shall have the meaning ascribed to such term in the Purchase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i w:val="false"/>
          <w:caps w:val="false"/>
          <w:smallCaps w:val="false"/>
          <w:sz w:val="20"/>
        </w:rPr>
        <w:t>Interest Rate</w:t>
      </w:r>
      <w:r>
        <w:rPr>
          <w:rFonts w:ascii="Times New Roman;Times;Serif" w:hAnsi="Times New Roman;Times;Serif"/>
          <w:b w:val="false"/>
          <w:i w:val="false"/>
          <w:caps w:val="false"/>
          <w:smallCaps w:val="false"/>
          <w:sz w:val="20"/>
        </w:rPr>
        <w:t>” means 12.0% per annum, as may be adjusted pursuant to Section 2.</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i w:val="false"/>
          <w:caps w:val="false"/>
          <w:smallCaps w:val="false"/>
          <w:sz w:val="20"/>
        </w:rPr>
        <w:t>Material Adverse Effect</w:t>
      </w:r>
      <w:r>
        <w:rPr>
          <w:rFonts w:ascii="Times New Roman;Times;Serif" w:hAnsi="Times New Roman;Times;Serif"/>
          <w:b w:val="false"/>
          <w:i w:val="false"/>
          <w:caps w:val="false"/>
          <w:smallCaps w:val="false"/>
          <w:sz w:val="20"/>
        </w:rPr>
        <w:t>” shall have the meaning ascribed to such term in the Purchase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i w:val="false"/>
          <w:caps w:val="false"/>
          <w:smallCaps w:val="false"/>
          <w:sz w:val="20"/>
        </w:rPr>
        <w:t>Options</w:t>
      </w:r>
      <w:r>
        <w:rPr>
          <w:rFonts w:ascii="Times New Roman;Times;Serif" w:hAnsi="Times New Roman;Times;Serif"/>
          <w:b w:val="false"/>
          <w:i w:val="false"/>
          <w:caps w:val="false"/>
          <w:smallCaps w:val="false"/>
          <w:sz w:val="20"/>
        </w:rPr>
        <w:t>” means any rights, warrants or options to subscribe for or purchase (i) shares of Common Stock or (ii) Convertible Securities.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i w:val="false"/>
          <w:caps w:val="false"/>
          <w:smallCaps w:val="false"/>
          <w:sz w:val="20"/>
        </w:rPr>
        <w:t>Permitted Indebtedness</w:t>
      </w:r>
      <w:r>
        <w:rPr>
          <w:rFonts w:ascii="Times New Roman;Times;Serif" w:hAnsi="Times New Roman;Times;Serif"/>
          <w:b w:val="false"/>
          <w:i w:val="false"/>
          <w:caps w:val="false"/>
          <w:smallCaps w:val="false"/>
          <w:sz w:val="20"/>
        </w:rPr>
        <w:t>” means (i) Indebtedness evidenced by this Note and the Other Notes, (ii) trade payables incurred in the ordinary course of business and consistent with past practice, (iii) unsecured Indebtedness incurred by the Company that is made expressly subordinate in right of payment to the Indebtedness evidenced by this Note, as reflected in a written agreement acceptable to the Required Holders and approved by the Required Holders in writing, and which Indebtedness includes terms and conditions acceptable to the Required Holders, (iv) Indebtedness, up to $200,000, in the aggregate, secured by Permitted Liens described in clauses (iv) of the definition of Permitted Liens, and (v) “</w:t>
      </w:r>
      <w:r>
        <w:rPr>
          <w:rFonts w:ascii="Times New Roman;Times;Serif" w:hAnsi="Times New Roman;Times;Serif"/>
          <w:b/>
          <w:i w:val="false"/>
          <w:caps w:val="false"/>
          <w:smallCaps w:val="false"/>
          <w:sz w:val="20"/>
        </w:rPr>
        <w:t>Yorkville Indebtedness</w:t>
      </w:r>
      <w:r>
        <w:rPr>
          <w:rFonts w:ascii="Times New Roman;Times;Serif" w:hAnsi="Times New Roman;Times;Serif"/>
          <w:b w:val="false"/>
          <w:i w:val="false"/>
          <w:caps w:val="false"/>
          <w:smallCaps w:val="false"/>
          <w:sz w:val="20"/>
        </w:rPr>
        <w:t>,” meaning all Indebtedness of the Company and its Subsidiaries outstanding as of the Issuance Date owing to Yorkville pursuant to the agreements and instruments evidencing such indebtedness (collectively, the “</w:t>
      </w:r>
      <w:r>
        <w:rPr>
          <w:rFonts w:ascii="Times New Roman;Times;Serif" w:hAnsi="Times New Roman;Times;Serif"/>
          <w:b/>
          <w:i w:val="false"/>
          <w:caps w:val="false"/>
          <w:smallCaps w:val="false"/>
          <w:sz w:val="20"/>
        </w:rPr>
        <w:t>Yorkville Documents</w:t>
      </w:r>
      <w:r>
        <w:rPr>
          <w:rFonts w:ascii="Times New Roman;Times;Serif" w:hAnsi="Times New Roman;Times;Serif"/>
          <w:b w:val="false"/>
          <w:i w:val="false"/>
          <w:caps w:val="false"/>
          <w:smallCaps w:val="false"/>
          <w:sz w:val="20"/>
        </w:rPr>
        <w:t>”), as such Yorkville Documents exist as of the Issuance Date (without giving effect to any amendment, modification, or increase in principal thereof without the prior written consent of the Required Holders).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- 25 -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i w:val="false"/>
          <w:caps w:val="false"/>
          <w:smallCaps w:val="false"/>
          <w:sz w:val="20"/>
        </w:rPr>
        <w:t>Permitted Liens</w:t>
      </w:r>
      <w:r>
        <w:rPr>
          <w:rFonts w:ascii="Times New Roman;Times;Serif" w:hAnsi="Times New Roman;Times;Serif"/>
          <w:b w:val="false"/>
          <w:i w:val="false"/>
          <w:caps w:val="false"/>
          <w:smallCaps w:val="false"/>
          <w:sz w:val="20"/>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Company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Company’s business, not interfering in any material respect with the business of the Company and its Subsidiaries taken as a whole, (vii) Liens in favor of customs and revenue authorities arising as a matter of law to secure payments of custom duties in connection with the importation of goods, (viii) Liens arising from judgments, decrees or attachments in circumstances not constituting an Event of Default under Section 4(a)(ix), (ix) Liens granted pursuant to the Security Agreement in favor of the collateral agent for the benefit of the Holder and the holders of the Other Notes to secure the obligations under this Note and the Other Notes, and (x) Liens granted to Yorkville in connection with the Yorkville Indebtedness existing as of the Issuance Date, which Liens shall be senior in priority to the Liens described in clause (ix) above and shall be released automatically upon the full repayment of all Yorkville Indebtedness.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i w:val="false"/>
          <w:caps w:val="false"/>
          <w:smallCaps w:val="false"/>
          <w:sz w:val="20"/>
        </w:rPr>
        <w:t>Person</w:t>
      </w:r>
      <w:r>
        <w:rPr>
          <w:rFonts w:ascii="Times New Roman;Times;Serif" w:hAnsi="Times New Roman;Times;Serif"/>
          <w:b w:val="false"/>
          <w:i w:val="false"/>
          <w:caps w:val="false"/>
          <w:smallCaps w:val="false"/>
          <w:sz w:val="20"/>
        </w:rPr>
        <w:t>” means an individual, a limited liability company, a partnership, a joint venture, a corporation, a trust, an unincorporated organization, any other entity and any governmental entity or any department or agency thereof.</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i w:val="false"/>
          <w:caps w:val="false"/>
          <w:smallCaps w:val="false"/>
          <w:sz w:val="20"/>
        </w:rPr>
        <w:t>Principal Market</w:t>
      </w:r>
      <w:r>
        <w:rPr>
          <w:rFonts w:ascii="Times New Roman;Times;Serif" w:hAnsi="Times New Roman;Times;Serif"/>
          <w:b w:val="false"/>
          <w:i w:val="false"/>
          <w:caps w:val="false"/>
          <w:smallCaps w:val="false"/>
          <w:sz w:val="20"/>
        </w:rPr>
        <w:t>” means the Nasdaq Capital Market.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i w:val="false"/>
          <w:caps w:val="false"/>
          <w:smallCaps w:val="false"/>
          <w:sz w:val="20"/>
        </w:rPr>
        <w:t>Pro Rata Amount</w:t>
      </w:r>
      <w:r>
        <w:rPr>
          <w:rFonts w:ascii="Times New Roman;Times;Serif" w:hAnsi="Times New Roman;Times;Serif"/>
          <w:b w:val="false"/>
          <w:i w:val="false"/>
          <w:caps w:val="false"/>
          <w:smallCaps w:val="false"/>
          <w:sz w:val="20"/>
        </w:rPr>
        <w:t>” means a fraction (i) the numerator of which is the Subscription Amount (as defined in the Purchase Agreement) paid by the initial Holder of this Note to the Company pursuant to the Purchase Agreement and (ii) the denominator of which is the aggregate Subscription Amounts paid by all the Purchasers to the Company pursuant to the Purchase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means that certain securities purchase agreement dated as of the Subscription Date by and among the Company and the investors listed on the signature pages attached thereto pursuant to which the Company issued the Notes, as may be amended, amended and restated, supplemented or otherwise modified from time to time.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i w:val="false"/>
          <w:caps w:val="false"/>
          <w:smallCaps w:val="false"/>
          <w:sz w:val="20"/>
        </w:rPr>
        <w:t>Purchaser</w:t>
      </w:r>
      <w:r>
        <w:rPr>
          <w:rFonts w:ascii="Times New Roman;Times;Serif" w:hAnsi="Times New Roman;Times;Serif"/>
          <w:b w:val="false"/>
          <w:i w:val="false"/>
          <w:caps w:val="false"/>
          <w:smallCaps w:val="false"/>
          <w:sz w:val="20"/>
        </w:rPr>
        <w:t>” shall have the meaning ascribed to such term in the Purchase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i w:val="false"/>
          <w:caps w:val="false"/>
          <w:smallCaps w:val="false"/>
          <w:sz w:val="20"/>
        </w:rPr>
        <w:t>Redemption Dates</w:t>
      </w:r>
      <w:r>
        <w:rPr>
          <w:rFonts w:ascii="Times New Roman;Times;Serif" w:hAnsi="Times New Roman;Times;Serif"/>
          <w:b w:val="false"/>
          <w:i w:val="false"/>
          <w:caps w:val="false"/>
          <w:smallCaps w:val="false"/>
          <w:sz w:val="20"/>
        </w:rPr>
        <w:t>” means, collectively, the Event of Default Redemption Dates and the Change of Control Redemption Dates</w:t>
      </w:r>
      <w:r>
        <w:rPr>
          <w:rFonts w:ascii="Times New Roman;Times;Serif" w:hAnsi="Times New Roman;Times;Serif"/>
          <w:b w:val="false"/>
          <w:i w:val="false"/>
          <w:caps w:val="false"/>
          <w:smallCaps w:val="false"/>
          <w:sz w:val="20"/>
          <w:shd w:fill="FFFFFF" w:val="clear"/>
        </w:rPr>
        <w:t>, as applicable</w:t>
      </w:r>
      <w:r>
        <w:rPr>
          <w:rFonts w:ascii="Times New Roman;Times;Serif" w:hAnsi="Times New Roman;Times;Serif"/>
          <w:b w:val="false"/>
          <w:i w:val="false"/>
          <w:caps w:val="false"/>
          <w:smallCaps w:val="false"/>
          <w:sz w:val="20"/>
        </w:rPr>
        <w:t>, each of the foregoing, individually, a Redemption Date.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- 26 -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i w:val="false"/>
          <w:caps w:val="false"/>
          <w:smallCaps w:val="false"/>
          <w:sz w:val="20"/>
        </w:rPr>
        <w:t>Redemption Notices</w:t>
      </w:r>
      <w:r>
        <w:rPr>
          <w:rFonts w:ascii="Times New Roman;Times;Serif" w:hAnsi="Times New Roman;Times;Serif"/>
          <w:b w:val="false"/>
          <w:i w:val="false"/>
          <w:caps w:val="false"/>
          <w:smallCaps w:val="false"/>
          <w:sz w:val="20"/>
        </w:rPr>
        <w:t>” means, collectively, the Event of Default Redemption Notices and the Change of Control Redemption Notices, each of the foregoing, individually, a Redemption Notice.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i w:val="false"/>
          <w:caps w:val="false"/>
          <w:smallCaps w:val="false"/>
          <w:sz w:val="20"/>
        </w:rPr>
        <w:t>Redemption Prices</w:t>
      </w:r>
      <w:r>
        <w:rPr>
          <w:rFonts w:ascii="Times New Roman;Times;Serif" w:hAnsi="Times New Roman;Times;Serif"/>
          <w:b w:val="false"/>
          <w:i w:val="false"/>
          <w:caps w:val="false"/>
          <w:smallCaps w:val="false"/>
          <w:sz w:val="20"/>
        </w:rPr>
        <w:t>” means, collectively, the Event of Default Redemption Prices and the Change of Control Redemption Prices, each of the foregoing, individually, a Redemption Price.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Registrable Instruments</w:t>
      </w:r>
      <w:r>
        <w:rPr>
          <w:rFonts w:ascii="Times New Roman;Times;Serif" w:hAnsi="Times New Roman;Times;Serif"/>
          <w:b w:val="false"/>
          <w:i w:val="false"/>
          <w:caps w:val="false"/>
          <w:smallCaps w:val="false"/>
          <w:sz w:val="20"/>
          <w:shd w:fill="FFFFFF" w:val="clear"/>
        </w:rPr>
        <w:t>” shall have the meaning ascribed to such term in the Registration Rights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Registration Rights Agreement</w:t>
      </w:r>
      <w:r>
        <w:rPr>
          <w:rFonts w:ascii="Times New Roman;Times;Serif" w:hAnsi="Times New Roman;Times;Serif"/>
          <w:b w:val="false"/>
          <w:i w:val="false"/>
          <w:caps w:val="false"/>
          <w:smallCaps w:val="false"/>
          <w:sz w:val="20"/>
          <w:shd w:fill="FFFFFF" w:val="clear"/>
        </w:rPr>
        <w:t>” means that certain registration rights agreement dated as of the Subscription Date by and among the Company and the Purchasers relating to, among other things, the registration of the resale of the shares of Common Stock issuable upon conversion of the Notes.</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shd w:fill="FFFFFF" w:val="clear"/>
        </w:rPr>
        <w:t>“</w:t>
      </w:r>
      <w:r>
        <w:rPr>
          <w:rFonts w:ascii="Times New Roman;Times;Serif" w:hAnsi="Times New Roman;Times;Serif"/>
          <w:b/>
          <w:i w:val="false"/>
          <w:caps w:val="false"/>
          <w:smallCaps w:val="false"/>
          <w:sz w:val="20"/>
          <w:shd w:fill="FFFFFF" w:val="clear"/>
        </w:rPr>
        <w:t>Registration Statement</w:t>
      </w:r>
      <w:r>
        <w:rPr>
          <w:rFonts w:ascii="Times New Roman;Times;Serif" w:hAnsi="Times New Roman;Times;Serif"/>
          <w:b w:val="false"/>
          <w:i w:val="false"/>
          <w:caps w:val="false"/>
          <w:smallCaps w:val="false"/>
          <w:sz w:val="20"/>
          <w:shd w:fill="FFFFFF" w:val="clear"/>
        </w:rPr>
        <w:t>” shall have the meaning ascribed to such term in the Registration Rights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i w:val="false"/>
          <w:caps w:val="false"/>
          <w:smallCaps w:val="false"/>
          <w:sz w:val="20"/>
        </w:rPr>
        <w:t>Related Fund</w:t>
      </w:r>
      <w:r>
        <w:rPr>
          <w:rFonts w:ascii="Times New Roman;Times;Serif" w:hAnsi="Times New Roman;Times;Serif"/>
          <w:b w:val="false"/>
          <w:i w:val="false"/>
          <w:caps w:val="false"/>
          <w:smallCaps w:val="false"/>
          <w:sz w:val="20"/>
        </w:rPr>
        <w:t>” means, with respect to any Person, a fund or account managed by such Person or an Affiliate of such Person.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i w:val="false"/>
          <w:caps w:val="false"/>
          <w:smallCaps w:val="false"/>
          <w:sz w:val="20"/>
        </w:rPr>
        <w:t>Required Holders</w:t>
      </w:r>
      <w:r>
        <w:rPr>
          <w:rFonts w:ascii="Times New Roman;Times;Serif" w:hAnsi="Times New Roman;Times;Serif"/>
          <w:b w:val="false"/>
          <w:i w:val="false"/>
          <w:caps w:val="false"/>
          <w:smallCaps w:val="false"/>
          <w:sz w:val="20"/>
        </w:rPr>
        <w:t>” means the holders of Notes representing at least a majority of the aggregate principal amount of the Notes then outstanding.</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means the Securities Act of 1933, as amended.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i w:val="false"/>
          <w:caps w:val="false"/>
          <w:smallCaps w:val="false"/>
          <w:sz w:val="20"/>
        </w:rPr>
        <w:t>Security Agreement</w:t>
      </w:r>
      <w:r>
        <w:rPr>
          <w:rFonts w:ascii="Times New Roman;Times;Serif" w:hAnsi="Times New Roman;Times;Serif"/>
          <w:b w:val="false"/>
          <w:i w:val="false"/>
          <w:caps w:val="false"/>
          <w:smallCaps w:val="false"/>
          <w:sz w:val="20"/>
        </w:rPr>
        <w:t>” means that certain security agreement dated as of the Subscription Date by and among the Company, each of its Subsidiaries party thereto, and the collateral agent for the benefit of the Holder and the holders of the Other Notes, as may be amended, amended and restated, supplemented or otherwise modified from time to time, pursuant to which the Company and such Subsidiaries have granted a second priority perfected security interest in substantially all of their respective assets to secure the obligations under this Note and the Other Notes, which security interest is contractually subordinate to the Liens securing the Yorkville Indebtedness and shall automatically become a first priority security interest upon the full repayment of all Yorkville Indebtedness, without the need for any amendment, consent, or further documentation.</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- 27 -</w:t>
      </w:r>
    </w:p>
    <w:p>
      <w:pPr>
        <w:pStyle w:val="TextBody"/>
        <w:bidi w:val="0"/>
        <w:spacing w:before="0" w:after="0"/>
        <w:jc w:val="center"/>
        <w:rPr/>
      </w:pPr>
      <w:r>
        <w:rPr/>
        <w:t> </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i w:val="false"/>
          <w:caps w:val="false"/>
          <w:smallCaps w:val="false"/>
          <w:sz w:val="20"/>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principal securities exchange or securities market on which the Common Stock is then traded as in effect on the date of delivery of the applicable Conversion Notice.</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i w:val="false"/>
          <w:caps w:val="false"/>
          <w:smallCaps w:val="false"/>
          <w:sz w:val="20"/>
        </w:rPr>
        <w:t>Subject Entity</w:t>
      </w:r>
      <w:r>
        <w:rPr>
          <w:rFonts w:ascii="Times New Roman;Times;Serif" w:hAnsi="Times New Roman;Times;Serif"/>
          <w:b w:val="false"/>
          <w:i w:val="false"/>
          <w:caps w:val="false"/>
          <w:smallCaps w:val="false"/>
          <w:sz w:val="20"/>
        </w:rPr>
        <w:t>” means any Person, Persons or Group or any Affiliate or associate of any such Person, Persons or Group.</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i w:val="false"/>
          <w:caps w:val="false"/>
          <w:smallCaps w:val="false"/>
          <w:sz w:val="20"/>
        </w:rPr>
        <w:t>Subscription Date</w:t>
      </w:r>
      <w:r>
        <w:rPr>
          <w:rFonts w:ascii="Times New Roman;Times;Serif" w:hAnsi="Times New Roman;Times;Serif"/>
          <w:b w:val="false"/>
          <w:i w:val="false"/>
          <w:caps w:val="false"/>
          <w:smallCaps w:val="false"/>
          <w:sz w:val="20"/>
        </w:rPr>
        <w:t>” means May 4, 2026.</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i w:val="false"/>
          <w:caps w:val="false"/>
          <w:smallCaps w:val="false"/>
          <w:sz w:val="20"/>
        </w:rPr>
        <w:t>Subsidiary</w:t>
      </w:r>
      <w:r>
        <w:rPr>
          <w:rFonts w:ascii="Times New Roman;Times;Serif" w:hAnsi="Times New Roman;Times;Serif"/>
          <w:b w:val="false"/>
          <w:i w:val="false"/>
          <w:caps w:val="false"/>
          <w:smallCaps w:val="false"/>
          <w:sz w:val="20"/>
        </w:rPr>
        <w:t>” shall have the meaning ascribed to such term in the Purchase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i w:val="false"/>
          <w:caps w:val="false"/>
          <w:smallCaps w:val="false"/>
          <w:sz w:val="20"/>
        </w:rPr>
        <w:t>Trading Day</w:t>
      </w:r>
      <w:r>
        <w:rPr>
          <w:rFonts w:ascii="Times New Roman;Times;Serif" w:hAnsi="Times New Roman;Times;Serif"/>
          <w:b w:val="false"/>
          <w:i w:val="false"/>
          <w:caps w:val="false"/>
          <w:smallCaps w:val="false"/>
          <w:sz w:val="20"/>
        </w:rPr>
        <w:t>” means any day on which the Common Stock is traded on the Principal Market, or, if the Principal Market is not the principal trading market for the Common Stock on such day, then on the principal securities exchange or securities market on which the Common Stock is then traded.</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i w:val="false"/>
          <w:caps w:val="false"/>
          <w:smallCaps w:val="false"/>
          <w:sz w:val="20"/>
        </w:rPr>
        <w:t>Transaction Documents</w:t>
      </w:r>
      <w:r>
        <w:rPr>
          <w:rFonts w:ascii="Times New Roman;Times;Serif" w:hAnsi="Times New Roman;Times;Serif"/>
          <w:b w:val="false"/>
          <w:i w:val="false"/>
          <w:caps w:val="false"/>
          <w:smallCaps w:val="false"/>
          <w:sz w:val="20"/>
        </w:rPr>
        <w:t>” shall have the meaning ascribed to such term in the Purchase Agreement, which meaning shall be deemed to include the Security Agreement.</w:t>
      </w:r>
    </w:p>
    <w:p>
      <w:pPr>
        <w:pStyle w:val="TextBody"/>
        <w:bidi w:val="0"/>
        <w:spacing w:before="0" w:after="0"/>
        <w:ind w:left="0" w:right="0" w:firstLine="2160"/>
        <w:jc w:val="both"/>
        <w:rPr>
          <w:caps w:val="false"/>
          <w:smallCaps w:val="false"/>
        </w:rPr>
      </w:pPr>
      <w:r>
        <w:rPr>
          <w:caps w:val="false"/>
          <w:smallCaps w:val="false"/>
        </w:rPr>
        <w:t> </w:t>
      </w:r>
    </w:p>
    <w:p>
      <w:pPr>
        <w:pStyle w:val="TextBody"/>
        <w:bidi w:val="0"/>
        <w:spacing w:before="0" w:after="0"/>
        <w:ind w:left="0" w:right="0" w:firstLine="21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i w:val="false"/>
          <w:caps w:val="false"/>
          <w:smallCaps w:val="false"/>
          <w:sz w:val="20"/>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an Eligible Market, the daily volume weighted average price of the Common Stock for such date (or the nearest preceding date) on the Eligible Market on which the Common Stock is then listed or quoted as reported by Bloomberg (based on a Trading Day from 9:30 a.m. (New York City time) to 4:02 p.m. (New York City time)), (b) if the Common Stock is not then listed or quoted on an Eligible Market, the volume weighted average price of the Common Stock for such date (or the nearest preceding date) in the over-the-counter market on the electronic bulletin board for the Common Stock as reported by Bloomberg, or (c) if no volume weighted average price is reported for the Common Stock by Bloomberg for such hours, the average of the highest closing bid price and the lowest closing ask price of any of the market makers for the Common Stock as reported in the Pink Open Market published by OTC Markets Group, Inc. If the VWAP cannot be calculated for such date on any of the foregoing bases, the VWAP on such date shall be the fair market value as mutually determined by the Company and the Holder, or if they cannot agree, as determined pursuant to Section 22.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- 28 -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Company has caused this Note to be duly executed as of the Issuance Date set out above.</w:t>
      </w:r>
    </w:p>
    <w:p>
      <w:pPr>
        <w:pStyle w:val="TextBody"/>
        <w:bidi w:val="0"/>
        <w:spacing w:before="0" w:after="0"/>
        <w:ind w:left="0" w:right="0" w:hanging="0"/>
        <w:jc w:val="both"/>
        <w:rPr>
          <w:caps w:val="false"/>
          <w:smallCaps w:val="false"/>
        </w:rPr>
      </w:pPr>
      <w:r>
        <w:rPr>
          <w:caps w:val="false"/>
          <w:smallCaps w:val="false"/>
        </w:rPr>
        <w:t> </w:t>
      </w:r>
    </w:p>
    <w:tbl>
      <w:tblPr>
        <w:tblW w:w="2740" w:type="dxa"/>
        <w:jc w:val="left"/>
        <w:tblInd w:w="0" w:type="dxa"/>
        <w:tblLayout w:type="fixed"/>
        <w:tblCellMar>
          <w:top w:w="0" w:type="dxa"/>
          <w:left w:w="0" w:type="dxa"/>
          <w:bottom w:w="0" w:type="dxa"/>
          <w:right w:w="0" w:type="dxa"/>
        </w:tblCellMar>
      </w:tblPr>
      <w:tblGrid>
        <w:gridCol w:w="75"/>
        <w:gridCol w:w="590"/>
        <w:gridCol w:w="2075"/>
      </w:tblGrid>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rFonts w:ascii="Times New Roman;Times;Serif" w:hAnsi="Times New Roman;Times;Serif"/>
                <w:b/>
                <w:smallCaps/>
                <w:sz w:val="20"/>
              </w:rPr>
            </w:pPr>
            <w:r>
              <w:rPr>
                <w:rFonts w:ascii="Times New Roman;Times;Serif" w:hAnsi="Times New Roman;Times;Serif"/>
                <w:b/>
                <w:smallCaps/>
                <w:sz w:val="20"/>
              </w:rPr>
              <w:t>Brag House Holdings, Inc.</w:t>
            </w:r>
          </w:p>
        </w:tc>
      </w:tr>
      <w:tr>
        <w:trPr/>
        <w:tc>
          <w:tcPr>
            <w:tcW w:w="75" w:type="dxa"/>
            <w:tcBorders/>
            <w:vAlign w:val="center"/>
          </w:tcPr>
          <w:p>
            <w:pPr>
              <w:pStyle w:val="TableContents"/>
              <w:bidi w:val="0"/>
              <w:spacing w:before="0" w:after="283"/>
              <w:jc w:val="left"/>
              <w:rPr/>
            </w:pPr>
            <w:r>
              <w:rPr/>
              <w:t> </w:t>
            </w:r>
          </w:p>
        </w:tc>
        <w:tc>
          <w:tcPr>
            <w:tcW w:w="2665"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By: </w:t>
            </w:r>
          </w:p>
        </w:tc>
        <w:tc>
          <w:tcPr>
            <w:tcW w:w="2075" w:type="dxa"/>
            <w:tcBorders>
              <w:bottom w:val="single" w:sz="12" w:space="0" w:color="000000"/>
            </w:tcBorders>
            <w:tcMar>
              <w:bottom w:w="28" w:type="dxa"/>
            </w:tcMar>
            <w:vAlign w:val="center"/>
          </w:tcPr>
          <w:p>
            <w:pPr>
              <w:pStyle w:val="TableContents"/>
              <w:bidi w:val="0"/>
              <w:spacing w:before="0" w:after="283"/>
              <w:jc w:val="both"/>
              <w:rPr>
                <w:i/>
                <w:sz w:val="20"/>
              </w:rPr>
            </w:pPr>
            <w:r>
              <w:rPr>
                <w:i/>
                <w:sz w:val="20"/>
              </w:rPr>
              <w:t>/s/ Lavell Juan Malloy, II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Name: </w:t>
            </w:r>
          </w:p>
        </w:tc>
        <w:tc>
          <w:tcPr>
            <w:tcW w:w="2075" w:type="dxa"/>
            <w:tcBorders/>
            <w:vAlign w:val="center"/>
          </w:tcPr>
          <w:p>
            <w:pPr>
              <w:pStyle w:val="TableContents"/>
              <w:bidi w:val="0"/>
              <w:spacing w:before="0" w:after="283"/>
              <w:jc w:val="both"/>
              <w:rPr>
                <w:sz w:val="20"/>
              </w:rPr>
            </w:pPr>
            <w:r>
              <w:rPr>
                <w:sz w:val="20"/>
              </w:rPr>
              <w:t>Lavell Juan Malloy, II</w:t>
            </w:r>
          </w:p>
        </w:tc>
      </w:tr>
      <w:tr>
        <w:trPr/>
        <w:tc>
          <w:tcPr>
            <w:tcW w:w="7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both"/>
              <w:rPr>
                <w:sz w:val="20"/>
              </w:rPr>
            </w:pPr>
            <w:r>
              <w:rPr>
                <w:sz w:val="20"/>
              </w:rPr>
              <w:t>Title:</w:t>
            </w:r>
          </w:p>
        </w:tc>
        <w:tc>
          <w:tcPr>
            <w:tcW w:w="2075" w:type="dxa"/>
            <w:tcBorders/>
            <w:vAlign w:val="center"/>
          </w:tcPr>
          <w:p>
            <w:pPr>
              <w:pStyle w:val="TableContents"/>
              <w:bidi w:val="0"/>
              <w:spacing w:before="0" w:after="283"/>
              <w:jc w:val="both"/>
              <w:rPr>
                <w:sz w:val="20"/>
              </w:rPr>
            </w:pPr>
            <w:r>
              <w:rPr>
                <w:sz w:val="20"/>
              </w:rPr>
              <w:t>Chief Executive Officer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Brag House Holdings, Inc.</w:t>
      </w:r>
    </w:p>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Senior Secured Convertible Note (the “</w:t>
      </w:r>
      <w:r>
        <w:rPr>
          <w:rFonts w:ascii="Times New Roman;Times;Serif" w:hAnsi="Times New Roman;Times;Serif"/>
          <w:b/>
          <w:i w:val="false"/>
          <w:caps w:val="false"/>
          <w:smallCaps w:val="false"/>
          <w:sz w:val="20"/>
        </w:rPr>
        <w:t>Note</w:t>
      </w:r>
      <w:r>
        <w:rPr>
          <w:rFonts w:ascii="Times New Roman;Times;Serif" w:hAnsi="Times New Roman;Times;Serif"/>
          <w:b w:val="false"/>
          <w:i w:val="false"/>
          <w:caps w:val="false"/>
          <w:smallCaps w:val="false"/>
          <w:sz w:val="20"/>
        </w:rPr>
        <w:t>”) issued to the undersigned by Brag House Holdings,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accordance with and pursuant to the Note, the undersigned hereby elects to convert the Conversion Amount (as defined in the Note) of the Note indicated below into shares of Common Stock par value $0.0001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 of the Company, as of the date specified below.</w:t>
      </w:r>
    </w:p>
    <w:p>
      <w:pPr>
        <w:pStyle w:val="TextBody"/>
        <w:bidi w:val="0"/>
        <w:spacing w:before="0" w:after="0"/>
        <w:ind w:left="0" w:right="0" w:hanging="0"/>
        <w:jc w:val="both"/>
        <w:rPr>
          <w:caps w:val="false"/>
          <w:smallCaps w:val="false"/>
        </w:rPr>
      </w:pPr>
      <w:r>
        <w:rPr>
          <w:caps w:val="false"/>
          <w:smallCaps w:val="false"/>
        </w:rPr>
        <w:t> </w:t>
      </w:r>
    </w:p>
    <w:tbl>
      <w:tblPr>
        <w:tblW w:w="1745" w:type="dxa"/>
        <w:jc w:val="left"/>
        <w:tblInd w:w="0" w:type="dxa"/>
        <w:tblLayout w:type="fixed"/>
        <w:tblCellMar>
          <w:top w:w="0" w:type="dxa"/>
          <w:left w:w="0" w:type="dxa"/>
          <w:bottom w:w="0" w:type="dxa"/>
          <w:right w:w="0" w:type="dxa"/>
        </w:tblCellMar>
      </w:tblPr>
      <w:tblGrid>
        <w:gridCol w:w="1670"/>
        <w:gridCol w:w="75"/>
      </w:tblGrid>
      <w:tr>
        <w:trPr/>
        <w:tc>
          <w:tcPr>
            <w:tcW w:w="1670" w:type="dxa"/>
            <w:tcBorders/>
            <w:vAlign w:val="center"/>
          </w:tcPr>
          <w:p>
            <w:pPr>
              <w:pStyle w:val="TableContents"/>
              <w:bidi w:val="0"/>
              <w:spacing w:before="0" w:after="283"/>
              <w:jc w:val="both"/>
              <w:rPr>
                <w:sz w:val="20"/>
              </w:rPr>
            </w:pPr>
            <w:r>
              <w:rPr>
                <w:sz w:val="20"/>
              </w:rPr>
              <w:t>Date of Conversion:</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9065" w:type="dxa"/>
        <w:jc w:val="left"/>
        <w:tblInd w:w="0" w:type="dxa"/>
        <w:tblLayout w:type="fixed"/>
        <w:tblCellMar>
          <w:top w:w="0" w:type="dxa"/>
          <w:left w:w="0" w:type="dxa"/>
          <w:bottom w:w="0" w:type="dxa"/>
          <w:right w:w="0" w:type="dxa"/>
        </w:tblCellMar>
      </w:tblPr>
      <w:tblGrid>
        <w:gridCol w:w="8990"/>
        <w:gridCol w:w="75"/>
      </w:tblGrid>
      <w:tr>
        <w:trPr/>
        <w:tc>
          <w:tcPr>
            <w:tcW w:w="8990" w:type="dxa"/>
            <w:tcBorders/>
            <w:vAlign w:val="center"/>
          </w:tcPr>
          <w:p>
            <w:pPr>
              <w:pStyle w:val="TableContents"/>
              <w:bidi w:val="0"/>
              <w:spacing w:before="0" w:after="283"/>
              <w:jc w:val="both"/>
              <w:rPr>
                <w:sz w:val="20"/>
              </w:rPr>
            </w:pPr>
            <w:r>
              <w:rPr>
                <w:sz w:val="20"/>
              </w:rPr>
              <w:t>Aggregate Conversion Amount to be converted or number of Conversion Shares to be issued upon conversion:</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confirm the following information:</w:t>
      </w:r>
    </w:p>
    <w:p>
      <w:pPr>
        <w:pStyle w:val="TextBody"/>
        <w:bidi w:val="0"/>
        <w:spacing w:before="0" w:after="0"/>
        <w:ind w:left="0" w:right="0" w:hanging="0"/>
        <w:jc w:val="both"/>
        <w:rPr>
          <w:caps w:val="false"/>
          <w:smallCaps w:val="false"/>
        </w:rPr>
      </w:pPr>
      <w:r>
        <w:rPr>
          <w:caps w:val="false"/>
          <w:smallCaps w:val="false"/>
        </w:rPr>
        <w:t> </w:t>
      </w:r>
    </w:p>
    <w:tbl>
      <w:tblPr>
        <w:tblW w:w="8345" w:type="dxa"/>
        <w:jc w:val="left"/>
        <w:tblInd w:w="0" w:type="dxa"/>
        <w:tblLayout w:type="fixed"/>
        <w:tblCellMar>
          <w:top w:w="0" w:type="dxa"/>
          <w:left w:w="0" w:type="dxa"/>
          <w:bottom w:w="0" w:type="dxa"/>
          <w:right w:w="0" w:type="dxa"/>
        </w:tblCellMar>
      </w:tblPr>
      <w:tblGrid>
        <w:gridCol w:w="8270"/>
        <w:gridCol w:w="75"/>
      </w:tblGrid>
      <w:tr>
        <w:trPr/>
        <w:tc>
          <w:tcPr>
            <w:tcW w:w="8270" w:type="dxa"/>
            <w:tcBorders/>
            <w:vAlign w:val="center"/>
          </w:tcPr>
          <w:p>
            <w:pPr>
              <w:pStyle w:val="TableContents"/>
              <w:bidi w:val="0"/>
              <w:spacing w:before="0" w:after="283"/>
              <w:jc w:val="both"/>
              <w:rPr>
                <w:sz w:val="20"/>
              </w:rPr>
            </w:pPr>
            <w:r>
              <w:rPr>
                <w:sz w:val="20"/>
              </w:rPr>
              <w:t>Conversion Price: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827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8270" w:type="dxa"/>
            <w:tcBorders/>
            <w:vAlign w:val="center"/>
          </w:tcPr>
          <w:p>
            <w:pPr>
              <w:pStyle w:val="TableContents"/>
              <w:bidi w:val="0"/>
              <w:spacing w:before="0" w:after="283"/>
              <w:jc w:val="both"/>
              <w:rPr>
                <w:sz w:val="20"/>
              </w:rPr>
            </w:pPr>
            <w:r>
              <w:rPr>
                <w:sz w:val="20"/>
              </w:rPr>
              <w:t>If Aggregate Conversion Amount is provided above, number of shares of Common Stock to be issued:</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Please issue the Common Stock into which the Note is being converted to the Holder, or for its benefit,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as a certificate to the following name and to the following address:</w:t>
      </w:r>
    </w:p>
    <w:p>
      <w:pPr>
        <w:pStyle w:val="TextBody"/>
        <w:bidi w:val="0"/>
        <w:spacing w:before="0" w:after="0"/>
        <w:ind w:left="0" w:right="0" w:hanging="0"/>
        <w:jc w:val="both"/>
        <w:rPr>
          <w:caps w:val="false"/>
          <w:smallCaps w:val="false"/>
        </w:rPr>
      </w:pPr>
      <w:r>
        <w:rPr>
          <w:caps w:val="false"/>
          <w:smallCaps w:val="false"/>
        </w:rPr>
        <w:t> </w:t>
      </w:r>
    </w:p>
    <w:tbl>
      <w:tblPr>
        <w:tblW w:w="1625" w:type="dxa"/>
        <w:jc w:val="left"/>
        <w:tblInd w:w="0" w:type="dxa"/>
        <w:tblLayout w:type="fixed"/>
        <w:tblCellMar>
          <w:top w:w="0" w:type="dxa"/>
          <w:left w:w="0" w:type="dxa"/>
          <w:bottom w:w="0" w:type="dxa"/>
          <w:right w:w="0" w:type="dxa"/>
        </w:tblCellMar>
      </w:tblPr>
      <w:tblGrid>
        <w:gridCol w:w="1550"/>
        <w:gridCol w:w="75"/>
      </w:tblGrid>
      <w:tr>
        <w:trPr/>
        <w:tc>
          <w:tcPr>
            <w:tcW w:w="1550" w:type="dxa"/>
            <w:tcBorders/>
            <w:vAlign w:val="center"/>
          </w:tcPr>
          <w:p>
            <w:pPr>
              <w:pStyle w:val="TableContents"/>
              <w:bidi w:val="0"/>
              <w:spacing w:before="0" w:after="283"/>
              <w:jc w:val="both"/>
              <w:rPr/>
            </w:pPr>
            <w:r>
              <w:rPr/>
              <w:t>Issue to:</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both"/>
              <w:rPr/>
            </w:pPr>
            <w:r>
              <w:rPr/>
              <w:t>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both"/>
              <w:rPr/>
            </w:pPr>
            <w:r>
              <w:rPr/>
              <w:t>Address:</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550" w:type="dxa"/>
            <w:tcBorders/>
            <w:vAlign w:val="center"/>
          </w:tcPr>
          <w:p>
            <w:pPr>
              <w:pStyle w:val="TableContents"/>
              <w:bidi w:val="0"/>
              <w:spacing w:before="0" w:after="283"/>
              <w:jc w:val="both"/>
              <w:rPr/>
            </w:pPr>
            <w:r>
              <w:rPr/>
              <w:t>Electronic Mail:</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Check here if requesting delivery by Deposit/Withdrawal at Custodian as follows:</w:t>
      </w:r>
    </w:p>
    <w:p>
      <w:pPr>
        <w:pStyle w:val="TextBody"/>
        <w:bidi w:val="0"/>
        <w:spacing w:before="0" w:after="0"/>
        <w:ind w:left="0" w:right="0" w:hanging="0"/>
        <w:jc w:val="both"/>
        <w:rPr>
          <w:caps w:val="false"/>
          <w:smallCaps w:val="false"/>
        </w:rPr>
      </w:pPr>
      <w:r>
        <w:rPr>
          <w:caps w:val="false"/>
          <w:smallCaps w:val="false"/>
        </w:rPr>
        <w:t> </w:t>
      </w:r>
    </w:p>
    <w:tbl>
      <w:tblPr>
        <w:tblW w:w="1820" w:type="dxa"/>
        <w:jc w:val="left"/>
        <w:tblInd w:w="0" w:type="dxa"/>
        <w:tblLayout w:type="fixed"/>
        <w:tblCellMar>
          <w:top w:w="0" w:type="dxa"/>
          <w:left w:w="0" w:type="dxa"/>
          <w:bottom w:w="0" w:type="dxa"/>
          <w:right w:w="0" w:type="dxa"/>
        </w:tblCellMar>
      </w:tblPr>
      <w:tblGrid>
        <w:gridCol w:w="1745"/>
        <w:gridCol w:w="75"/>
      </w:tblGrid>
      <w:tr>
        <w:trPr/>
        <w:tc>
          <w:tcPr>
            <w:tcW w:w="1745" w:type="dxa"/>
            <w:tcBorders/>
            <w:vAlign w:val="center"/>
          </w:tcPr>
          <w:p>
            <w:pPr>
              <w:pStyle w:val="TableContents"/>
              <w:bidi w:val="0"/>
              <w:spacing w:before="0" w:after="283"/>
              <w:jc w:val="both"/>
              <w:rPr/>
            </w:pPr>
            <w:r>
              <w:rPr/>
              <w:t>DTC Participant:</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745" w:type="dxa"/>
            <w:tcBorders/>
            <w:vAlign w:val="center"/>
          </w:tcPr>
          <w:p>
            <w:pPr>
              <w:pStyle w:val="TableContents"/>
              <w:bidi w:val="0"/>
              <w:spacing w:before="0" w:after="283"/>
              <w:jc w:val="both"/>
              <w:rPr/>
            </w:pPr>
            <w:r>
              <w:rPr/>
              <w:t>DTC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745" w:type="dxa"/>
            <w:tcBorders/>
            <w:vAlign w:val="center"/>
          </w:tcPr>
          <w:p>
            <w:pPr>
              <w:pStyle w:val="TableContents"/>
              <w:bidi w:val="0"/>
              <w:spacing w:before="0" w:after="283"/>
              <w:jc w:val="both"/>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475" w:type="dxa"/>
        <w:jc w:val="left"/>
        <w:tblInd w:w="0" w:type="dxa"/>
        <w:tblLayout w:type="fixed"/>
        <w:tblCellMar>
          <w:top w:w="0" w:type="dxa"/>
          <w:left w:w="0" w:type="dxa"/>
          <w:bottom w:w="0" w:type="dxa"/>
          <w:right w:w="0" w:type="dxa"/>
        </w:tblCellMar>
      </w:tblPr>
      <w:tblGrid>
        <w:gridCol w:w="1400"/>
        <w:gridCol w:w="75"/>
      </w:tblGrid>
      <w:tr>
        <w:trPr/>
        <w:tc>
          <w:tcPr>
            <w:tcW w:w="1400" w:type="dxa"/>
            <w:tcBorders/>
            <w:vAlign w:val="center"/>
          </w:tcPr>
          <w:p>
            <w:pPr>
              <w:pStyle w:val="TableContents"/>
              <w:bidi w:val="0"/>
              <w:spacing w:before="0" w:after="283"/>
              <w:jc w:val="both"/>
              <w:rPr/>
            </w:pPr>
            <w:r>
              <w:rPr/>
              <w:t>Authorization:</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400" w:type="dxa"/>
            <w:tcBorders/>
            <w:vAlign w:val="center"/>
          </w:tcPr>
          <w:p>
            <w:pPr>
              <w:pStyle w:val="TableContents"/>
              <w:bidi w:val="0"/>
              <w:spacing w:before="0" w:after="283"/>
              <w:jc w:val="both"/>
              <w:rPr/>
            </w:pPr>
            <w:r>
              <w:rPr/>
              <w:t>By:</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1400" w:type="dxa"/>
            <w:tcBorders/>
            <w:vAlign w:val="center"/>
          </w:tcPr>
          <w:p>
            <w:pPr>
              <w:pStyle w:val="TableContents"/>
              <w:bidi w:val="0"/>
              <w:spacing w:before="0" w:after="283"/>
              <w:jc w:val="both"/>
              <w:rPr/>
            </w:pPr>
            <w:r>
              <w:rPr/>
              <w:t>Title:</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695" w:type="dxa"/>
        <w:jc w:val="left"/>
        <w:tblInd w:w="0" w:type="dxa"/>
        <w:tblLayout w:type="fixed"/>
        <w:tblCellMar>
          <w:top w:w="0" w:type="dxa"/>
          <w:left w:w="0" w:type="dxa"/>
          <w:bottom w:w="0" w:type="dxa"/>
          <w:right w:w="0" w:type="dxa"/>
        </w:tblCellMar>
      </w:tblPr>
      <w:tblGrid>
        <w:gridCol w:w="620"/>
        <w:gridCol w:w="75"/>
      </w:tblGrid>
      <w:tr>
        <w:trPr/>
        <w:tc>
          <w:tcPr>
            <w:tcW w:w="620" w:type="dxa"/>
            <w:tcBorders/>
            <w:vAlign w:val="center"/>
          </w:tcPr>
          <w:p>
            <w:pPr>
              <w:pStyle w:val="TableContents"/>
              <w:bidi w:val="0"/>
              <w:spacing w:before="0" w:after="283"/>
              <w:jc w:val="both"/>
              <w:rPr>
                <w:sz w:val="20"/>
              </w:rPr>
            </w:pPr>
            <w:r>
              <w:rPr>
                <w:sz w:val="20"/>
              </w:rPr>
              <w:t>Dated: </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3215" w:type="dxa"/>
        <w:jc w:val="left"/>
        <w:tblInd w:w="0" w:type="dxa"/>
        <w:tblLayout w:type="fixed"/>
        <w:tblCellMar>
          <w:top w:w="0" w:type="dxa"/>
          <w:left w:w="0" w:type="dxa"/>
          <w:bottom w:w="0" w:type="dxa"/>
          <w:right w:w="0" w:type="dxa"/>
        </w:tblCellMar>
      </w:tblPr>
      <w:tblGrid>
        <w:gridCol w:w="3140"/>
        <w:gridCol w:w="75"/>
      </w:tblGrid>
      <w:tr>
        <w:trPr/>
        <w:tc>
          <w:tcPr>
            <w:tcW w:w="3140" w:type="dxa"/>
            <w:tcBorders/>
            <w:vAlign w:val="center"/>
          </w:tcPr>
          <w:p>
            <w:pPr>
              <w:pStyle w:val="TableContents"/>
              <w:bidi w:val="0"/>
              <w:spacing w:before="0" w:after="283"/>
              <w:jc w:val="both"/>
              <w:rPr/>
            </w:pPr>
            <w:r>
              <w:rPr/>
              <w:t>Account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140" w:type="dxa"/>
            <w:tcBorders/>
            <w:vAlign w:val="center"/>
          </w:tcPr>
          <w:p>
            <w:pPr>
              <w:pStyle w:val="TableContents"/>
              <w:bidi w:val="0"/>
              <w:spacing w:before="0" w:after="283"/>
              <w:jc w:val="both"/>
              <w:rPr/>
            </w:pPr>
            <w:r>
              <w:rPr/>
              <w:t>(if electronic book entry transfer)</w:t>
            </w:r>
          </w:p>
        </w:tc>
        <w:tc>
          <w:tcPr>
            <w:tcW w:w="75" w:type="dxa"/>
            <w:tcBorders/>
            <w:vAlign w:val="center"/>
          </w:tcPr>
          <w:p>
            <w:pPr>
              <w:pStyle w:val="TableContents"/>
              <w:bidi w:val="0"/>
              <w:spacing w:before="0" w:after="283"/>
              <w:jc w:val="both"/>
              <w:rPr/>
            </w:pPr>
            <w:r>
              <w:rPr/>
              <w:t> </w:t>
            </w:r>
          </w:p>
        </w:tc>
      </w:tr>
      <w:tr>
        <w:trPr/>
        <w:tc>
          <w:tcPr>
            <w:tcW w:w="3140" w:type="dxa"/>
            <w:tcBorders/>
            <w:vAlign w:val="center"/>
          </w:tcPr>
          <w:p>
            <w:pPr>
              <w:pStyle w:val="TableContents"/>
              <w:bidi w:val="0"/>
              <w:spacing w:before="0" w:after="283"/>
              <w:jc w:val="both"/>
              <w:rPr/>
            </w:pPr>
            <w:r>
              <w:rPr/>
              <w:t> </w:t>
            </w:r>
          </w:p>
        </w:tc>
        <w:tc>
          <w:tcPr>
            <w:tcW w:w="75" w:type="dxa"/>
            <w:tcBorders/>
            <w:vAlign w:val="center"/>
          </w:tcPr>
          <w:p>
            <w:pPr>
              <w:pStyle w:val="TableContents"/>
              <w:bidi w:val="0"/>
              <w:spacing w:before="0" w:after="283"/>
              <w:jc w:val="both"/>
              <w:rPr/>
            </w:pPr>
            <w:r>
              <w:rPr/>
              <w:t> </w:t>
            </w:r>
          </w:p>
        </w:tc>
      </w:tr>
      <w:tr>
        <w:trPr/>
        <w:tc>
          <w:tcPr>
            <w:tcW w:w="3140" w:type="dxa"/>
            <w:tcBorders/>
            <w:vAlign w:val="center"/>
          </w:tcPr>
          <w:p>
            <w:pPr>
              <w:pStyle w:val="TableContents"/>
              <w:bidi w:val="0"/>
              <w:spacing w:before="0" w:after="283"/>
              <w:jc w:val="both"/>
              <w:rPr/>
            </w:pPr>
            <w:r>
              <w:rPr/>
              <w:t>Transaction Code Number:</w:t>
            </w:r>
          </w:p>
        </w:tc>
        <w:tc>
          <w:tcPr>
            <w:tcW w:w="75" w:type="dxa"/>
            <w:tcBorders>
              <w:bottom w:val="single" w:sz="8" w:space="0" w:color="000000"/>
            </w:tcBorders>
            <w:tcMar>
              <w:bottom w:w="28" w:type="dxa"/>
            </w:tcMar>
            <w:vAlign w:val="center"/>
          </w:tcPr>
          <w:p>
            <w:pPr>
              <w:pStyle w:val="TableContents"/>
              <w:bidi w:val="0"/>
              <w:spacing w:before="0" w:after="283"/>
              <w:jc w:val="both"/>
              <w:rPr/>
            </w:pPr>
            <w:r>
              <w:rPr/>
              <w:t> </w:t>
            </w:r>
          </w:p>
        </w:tc>
      </w:tr>
      <w:tr>
        <w:trPr/>
        <w:tc>
          <w:tcPr>
            <w:tcW w:w="3140" w:type="dxa"/>
            <w:tcBorders/>
            <w:vAlign w:val="center"/>
          </w:tcPr>
          <w:p>
            <w:pPr>
              <w:pStyle w:val="TableContents"/>
              <w:bidi w:val="0"/>
              <w:spacing w:before="0" w:after="283"/>
              <w:jc w:val="both"/>
              <w:rPr/>
            </w:pPr>
            <w:r>
              <w:rPr/>
              <w:t>(if electronic book entry transfer)</w:t>
            </w:r>
          </w:p>
        </w:tc>
        <w:tc>
          <w:tcPr>
            <w:tcW w:w="75" w:type="dxa"/>
            <w:tcBorders/>
            <w:vAlign w:val="center"/>
          </w:tcPr>
          <w:p>
            <w:pPr>
              <w:pStyle w:val="TableContents"/>
              <w:bidi w:val="0"/>
              <w:spacing w:before="0" w:after="283"/>
              <w:jc w:val="both"/>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ACKNOWLEDGMENT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hereby acknowledges this Conversion Notice and hereby directs Pacific Stock Transfer Company to issue the above indicated number of shares of Common Stock.</w:t>
      </w:r>
    </w:p>
    <w:p>
      <w:pPr>
        <w:pStyle w:val="TextBody"/>
        <w:bidi w:val="0"/>
        <w:spacing w:before="0" w:after="0"/>
        <w:ind w:left="0" w:right="0" w:hanging="0"/>
        <w:jc w:val="both"/>
        <w:rPr>
          <w:caps w:val="false"/>
          <w:smallCaps w:val="false"/>
        </w:rPr>
      </w:pPr>
      <w:r>
        <w:rPr>
          <w:caps w:val="false"/>
          <w:smallCaps w:val="false"/>
        </w:rPr>
        <w:t> </w:t>
      </w:r>
    </w:p>
    <w:tbl>
      <w:tblPr>
        <w:tblW w:w="3124" w:type="dxa"/>
        <w:jc w:val="left"/>
        <w:tblInd w:w="0" w:type="dxa"/>
        <w:tblLayout w:type="fixed"/>
        <w:tblCellMar>
          <w:top w:w="0" w:type="dxa"/>
          <w:left w:w="0" w:type="dxa"/>
          <w:bottom w:w="0" w:type="dxa"/>
          <w:right w:w="0" w:type="dxa"/>
        </w:tblCellMar>
      </w:tblPr>
      <w:tblGrid>
        <w:gridCol w:w="75"/>
        <w:gridCol w:w="1082"/>
        <w:gridCol w:w="1967"/>
      </w:tblGrid>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rFonts w:ascii="Times New Roman;Times;Serif" w:hAnsi="Times New Roman;Times;Serif"/>
                <w:b/>
                <w:smallCaps/>
              </w:rPr>
            </w:pPr>
            <w:r>
              <w:rPr>
                <w:rFonts w:ascii="Times New Roman;Times;Serif" w:hAnsi="Times New Roman;Times;Serif"/>
                <w:b/>
                <w:smallCaps/>
              </w:rPr>
              <w:t>Brag House Holdings, Inc.</w:t>
            </w:r>
          </w:p>
        </w:tc>
      </w:tr>
      <w:tr>
        <w:trPr/>
        <w:tc>
          <w:tcPr>
            <w:tcW w:w="75" w:type="dxa"/>
            <w:tcBorders/>
            <w:vAlign w:val="center"/>
          </w:tcPr>
          <w:p>
            <w:pPr>
              <w:pStyle w:val="TableContents"/>
              <w:bidi w:val="0"/>
              <w:spacing w:before="0" w:after="283"/>
              <w:jc w:val="left"/>
              <w:rPr/>
            </w:pPr>
            <w:r>
              <w:rPr/>
              <w:t> </w:t>
            </w:r>
          </w:p>
        </w:tc>
        <w:tc>
          <w:tcPr>
            <w:tcW w:w="304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both"/>
              <w:rPr/>
            </w:pPr>
            <w:r>
              <w:rPr/>
              <w:t>By: </w:t>
            </w:r>
          </w:p>
        </w:tc>
        <w:tc>
          <w:tcPr>
            <w:tcW w:w="1967" w:type="dxa"/>
            <w:tcBorders>
              <w:bottom w:val="single" w:sz="12" w:space="0" w:color="000000"/>
            </w:tcBorders>
            <w:tcMar>
              <w:bottom w:w="28" w:type="dxa"/>
            </w:tcMar>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both"/>
              <w:rPr/>
            </w:pPr>
            <w:r>
              <w:rPr/>
              <w:t> </w:t>
            </w:r>
          </w:p>
        </w:tc>
        <w:tc>
          <w:tcPr>
            <w:tcW w:w="1967" w:type="dxa"/>
            <w:tcBorders/>
            <w:vAlign w:val="center"/>
          </w:tcPr>
          <w:p>
            <w:pPr>
              <w:pStyle w:val="TableContents"/>
              <w:bidi w:val="0"/>
              <w:spacing w:before="0" w:after="283"/>
              <w:jc w:val="both"/>
              <w:rPr/>
            </w:pPr>
            <w:r>
              <w:rPr/>
              <w:t>Name:</w:t>
            </w:r>
          </w:p>
        </w:tc>
      </w:tr>
      <w:tr>
        <w:trPr/>
        <w:tc>
          <w:tcPr>
            <w:tcW w:w="75" w:type="dxa"/>
            <w:tcBorders/>
            <w:vAlign w:val="center"/>
          </w:tcPr>
          <w:p>
            <w:pPr>
              <w:pStyle w:val="TableContents"/>
              <w:bidi w:val="0"/>
              <w:spacing w:before="0" w:after="283"/>
              <w:jc w:val="left"/>
              <w:rPr/>
            </w:pPr>
            <w:r>
              <w:rPr/>
              <w:t> </w:t>
            </w:r>
          </w:p>
        </w:tc>
        <w:tc>
          <w:tcPr>
            <w:tcW w:w="1082" w:type="dxa"/>
            <w:tcBorders/>
            <w:vAlign w:val="center"/>
          </w:tcPr>
          <w:p>
            <w:pPr>
              <w:pStyle w:val="TableContents"/>
              <w:bidi w:val="0"/>
              <w:spacing w:before="0" w:after="283"/>
              <w:jc w:val="both"/>
              <w:rPr/>
            </w:pPr>
            <w:r>
              <w:rPr/>
              <w:t> </w:t>
            </w:r>
          </w:p>
        </w:tc>
        <w:tc>
          <w:tcPr>
            <w:tcW w:w="1967" w:type="dxa"/>
            <w:tcBorders/>
            <w:vAlign w:val="center"/>
          </w:tcPr>
          <w:p>
            <w:pPr>
              <w:pStyle w:val="TableContents"/>
              <w:bidi w:val="0"/>
              <w:spacing w:before="0" w:after="283"/>
              <w:jc w:val="both"/>
              <w:rPr/>
            </w:pPr>
            <w:r>
              <w:rPr/>
              <w:t>Title: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5" w:name="ea028977301ex10-1.htm"/>
      <w:bookmarkStart w:id="26" w:name="ksea028977301ex101"/>
      <w:bookmarkEnd w:id="25"/>
      <w:bookmarkEnd w:id="26"/>
      <w:r>
        <w:rPr>
          <w:rFonts w:ascii="Times New Roman;Times;Serif" w:hAnsi="Times New Roman;Times;Serif"/>
          <w:b/>
          <w:i w:val="false"/>
          <w:caps w:val="false"/>
          <w:smallCaps w:val="false"/>
          <w:sz w:val="20"/>
        </w:rPr>
        <w:t>Exhibit 10.1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Purchase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dated as of May 4, 2026, between Brag House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purchaser identified on the signature pages hereto (each, including its successors and assigns,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subject to the terms and conditions set forth in this Agreement and pursuant to Section 4(a)(2) of the Securities Act (as defined below), and Rule 506 promulgated thereunder, the Company desires to issue and sell to each Purchaser, and each Purchaser, severally and not jointly, desires to purchase from the Company, instruments of the Company as more fully described in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mutual covenants contained in this Agreement, and for other good and valuable consideration, the receipt and adequacy of which are hereby acknowledged, the Company and each Purchaser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DEFINITIONS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 In addition to the terms defined elsewhere in this Agreement: (a) capitalized terms that are not otherwise defined herein have the meanings given to such terms in the Notes (as defined herein), and (b) the following terms have the meanings set forth in this Section 1.1: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shall have the meaning ascribed to such term in Section 4.7.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shall have the meaning ascribed to such term in Section 3.1(j).</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any Person that, directly or indirectly through one or more intermediaries, controls or is controlled by or is under common control with a Person, as such terms are used in and construed under Rule 405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Directors</w:t>
      </w:r>
      <w:r>
        <w:rPr>
          <w:rFonts w:ascii="Times New Roman;Times;Serif" w:hAnsi="Times New Roman;Times;Serif"/>
          <w:b w:val="false"/>
          <w:i w:val="false"/>
          <w:caps w:val="false"/>
          <w:smallCaps w:val="false"/>
          <w:sz w:val="20"/>
        </w:rPr>
        <w:t>” means the board of directors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other than Saturday, Sunday or other day on which commercial banks in The City of New York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for clarification, commercial banks shall not be deemed to be authorized or required by law to remain closed due to “stay at home”, “shelter-in-place”, “non-essential employee” or any other similar orders or restrictions or the closure of any physical branch locations at the direction of any governmental authority so long as the electronic funds transfer systems (including for wire transfers) of commercial banks in The City of New York are generally open for use by customers on such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means the closing of the purchase and sale of the Instruments pursuant to Section 2.1.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means the Trading Day on which all of the Transaction Documents have been executed and delivered by the applicable parties thereto, and all conditions precedent to (i) the Purchasers’ obligations to pay the Subscription Amount and (ii) the Company’s obligations to deliver the Instruments, in each case, have been satisfied or waived.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 Shares</w:t>
      </w:r>
      <w:r>
        <w:rPr>
          <w:rFonts w:ascii="Times New Roman;Times;Serif" w:hAnsi="Times New Roman;Times;Serif"/>
          <w:b w:val="false"/>
          <w:i w:val="false"/>
          <w:caps w:val="false"/>
          <w:smallCaps w:val="false"/>
          <w:sz w:val="20"/>
        </w:rPr>
        <w:t>” means the shares of Common Stock to be issued to the Purchasers at the Closing as a commitment fee, allocated among the Purchasers pro rata based on each Purchaser’s Subscription Amount relative to the aggregate Subscription Amounts of all Purchasers, in the aggregate amount of three million (3,000,000) shares of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w:t>
      </w:r>
      <w:r>
        <w:rPr>
          <w:rFonts w:ascii="Times New Roman;Times;Serif" w:hAnsi="Times New Roman;Times;Serif"/>
          <w:b w:val="false"/>
          <w:i w:val="false"/>
          <w:caps w:val="false"/>
          <w:smallCaps w:val="false"/>
          <w:sz w:val="20"/>
        </w:rPr>
        <w:t>” means the common stock of the Company, par value $0.0001 per share, and any other class of securities into which such securities may hereafter be reclassified or changed.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Common Stock Equivalents</w:t>
      </w:r>
      <w:r>
        <w:rPr>
          <w:rFonts w:ascii="Times New Roman;Times;Serif" w:hAnsi="Times New Roman;Times;Serif"/>
          <w:b w:val="false"/>
          <w:i w:val="false"/>
          <w:caps w:val="false"/>
          <w:smallCaps w:val="false"/>
          <w:sz w:val="20"/>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Counsel</w:t>
      </w:r>
      <w:r>
        <w:rPr>
          <w:rFonts w:ascii="Times New Roman;Times;Serif" w:hAnsi="Times New Roman;Times;Serif"/>
          <w:b w:val="false"/>
          <w:i w:val="false"/>
          <w:caps w:val="false"/>
          <w:smallCaps w:val="false"/>
          <w:sz w:val="20"/>
        </w:rPr>
        <w:t>” means Lucosky Brookman LLP, with offices located at 101 Wood Avenue South, Fifth Floor, Woodbridge, New Jersey 08830.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Conversion Shares</w:t>
      </w:r>
      <w:r>
        <w:rPr>
          <w:rFonts w:ascii="Times New Roman;Times;Serif" w:hAnsi="Times New Roman;Times;Serif"/>
          <w:b w:val="false"/>
          <w:i w:val="false"/>
          <w:caps w:val="false"/>
          <w:smallCaps w:val="false"/>
          <w:sz w:val="20"/>
        </w:rPr>
        <w:t>” shall have the meaning ascribed to such term in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Data Privacy and Security Laws</w:t>
      </w:r>
      <w:r>
        <w:rPr>
          <w:rFonts w:ascii="Times New Roman;Times;Serif" w:hAnsi="Times New Roman;Times;Serif"/>
          <w:b w:val="false"/>
          <w:i w:val="false"/>
          <w:caps w:val="false"/>
          <w:smallCaps w:val="false"/>
          <w:sz w:val="20"/>
        </w:rPr>
        <w:t>” shall have the meaning ascribed to such term in Section 3.1(mm).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Schedules</w:t>
      </w:r>
      <w:r>
        <w:rPr>
          <w:rFonts w:ascii="Times New Roman;Times;Serif" w:hAnsi="Times New Roman;Times;Serif"/>
          <w:b w:val="false"/>
          <w:i w:val="false"/>
          <w:caps w:val="false"/>
          <w:smallCaps w:val="false"/>
          <w:sz w:val="20"/>
        </w:rPr>
        <w:t>” means those disclosure schedules being delivered by the Company to the Purchasers concurrently with the execution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Disclosure Time</w:t>
      </w:r>
      <w:r>
        <w:rPr>
          <w:rFonts w:ascii="Times New Roman;Times;Serif" w:hAnsi="Times New Roman;Times;Serif"/>
          <w:b w:val="false"/>
          <w:i w:val="false"/>
          <w:caps w:val="false"/>
          <w:smallCaps w:val="false"/>
          <w:sz w:val="20"/>
        </w:rPr>
        <w:t>” means, (i) if this Agreement is signed on a day that is not a Trading Day or after 9:00 a.m. (New York City time) and before midnight (New York City time) on any Trading Day, 9:01 a.m. (New York City time) on the Trading Day immediately following the date hereof, and (ii) if this Agreement is signed between midnight (New York City time) and 9:00 a.m. (New York City time) on any Trading Day, no later than 9:01 a.m. (New York City time) on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earliest of the date that (a) the initial Registration Statement has been declared effective by the Commission registering all of the Underlying Shares, (b) all of the Underlying Shares have been sold pursuant to Rule 144 or may be sold pursuant to Rule 144 without the requirement for the Company to be in compliance with the current public information required under Rule 144 and without volume or manner-of-sale restrictions, (c) following the one year anniversary of the Closing Date provided that a holder of the Underlying Shares is not an Affiliate of the Company or (d) all of the Underlying Shares may be sold pursuant to an exemption from registration under Section 4(a)(1) of the Securities Act without volume or manner-of-sale restrictions and Company Counsel has delivered to such holders a standing written unqualified opinion that resales may then be made by such holders of the Underlying Shares pursuant to such exemption which opinion shall be in form and substance reasonably acceptable to such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shall have the meaning ascribed to such term in Section 3.1(s).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Securities Exchange Act of 1934,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Exempt Issuance</w:t>
      </w:r>
      <w:r>
        <w:rPr>
          <w:rFonts w:ascii="Times New Roman;Times;Serif" w:hAnsi="Times New Roman;Times;Serif"/>
          <w:b w:val="false"/>
          <w:i w:val="false"/>
          <w:caps w:val="false"/>
          <w:smallCaps w:val="false"/>
          <w:sz w:val="20"/>
        </w:rPr>
        <w:t>” means the issuance of (a) shares of Common Stock or options to employees, officers or directors of the Company pursuant to the approval of a majority of the non-employee members of the Board of Directors or a majority of the members of a committee of non-employee directors established for such purpose for services rendered to the Company, (b) securities upon the exercise or exchange of or conversion of any Instruments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(c) securities issuable pursuant to that certain Common Stock Purchase Agreement, dated as of December 4, 2025, between the Company, House of Doge. and Yorkville, as amended, restated or supplemented from time to time, and that certain Convertible Promissory Note, dated as of December 4, 2025, in the initial principal amount of up to $11,000,000.00, issued by the Company and House of Doge to Yorkville, as amended, restated or supplemented from time to time; provided, however that the amount due pursuant to such Convertible Promissory Note shall not be increased or the number of shares issuable pursuant thereto increased, (d) securities issued in connection with the HOD Merger, and (e) securities issued pursuant to acquisitions or strategic transactions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prohibition period in Section 4.13(a) herein, and provided that any such issuance shall only be to a Person (or to the equityholders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FCPA</w:t>
      </w:r>
      <w:r>
        <w:rPr>
          <w:rFonts w:ascii="Times New Roman;Times;Serif" w:hAnsi="Times New Roman;Times;Serif"/>
          <w:b w:val="false"/>
          <w:i w:val="false"/>
          <w:caps w:val="false"/>
          <w:smallCaps w:val="false"/>
          <w:sz w:val="20"/>
        </w:rPr>
        <w:t>” means the Foreign Corrupt Practices Act of 1977,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HOD Guaranty</w:t>
      </w:r>
      <w:r>
        <w:rPr>
          <w:rFonts w:ascii="Times New Roman;Times;Serif" w:hAnsi="Times New Roman;Times;Serif"/>
          <w:b w:val="false"/>
          <w:i w:val="false"/>
          <w:caps w:val="false"/>
          <w:smallCaps w:val="false"/>
          <w:sz w:val="20"/>
        </w:rPr>
        <w:t>” means that certain Guaranty, dated as of date hereof, as amended, restated or supplemented from time to time, issued by House of Doge in favor of the Purchasers whereby House of Doge guarantees the obligations of the Company under the Notes and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HOD Merger</w:t>
      </w:r>
      <w:r>
        <w:rPr>
          <w:rFonts w:ascii="Times New Roman;Times;Serif" w:hAnsi="Times New Roman;Times;Serif"/>
          <w:b w:val="false"/>
          <w:i w:val="false"/>
          <w:caps w:val="false"/>
          <w:smallCaps w:val="false"/>
          <w:sz w:val="20"/>
        </w:rPr>
        <w:t>” means that certain merger expected to occur between House of Doge and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House of Doge</w:t>
      </w:r>
      <w:r>
        <w:rPr>
          <w:rFonts w:ascii="Times New Roman;Times;Serif" w:hAnsi="Times New Roman;Times;Serif"/>
          <w:b w:val="false"/>
          <w:i w:val="false"/>
          <w:caps w:val="false"/>
          <w:smallCaps w:val="false"/>
          <w:sz w:val="20"/>
        </w:rPr>
        <w:t>” means House of Doge Inc., a Texas corporation.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shall have the meaning ascribed to such term in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Instruments</w:t>
      </w:r>
      <w:r>
        <w:rPr>
          <w:rFonts w:ascii="Times New Roman;Times;Serif" w:hAnsi="Times New Roman;Times;Serif"/>
          <w:b w:val="false"/>
          <w:i w:val="false"/>
          <w:caps w:val="false"/>
          <w:smallCaps w:val="false"/>
          <w:sz w:val="20"/>
        </w:rPr>
        <w:t>” means the Notes, the Commitment Shares and the Underlying Shares.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shall have the meaning ascribed to such term in Section 3.1(p).</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shall have the meaning ascribed to such term in Section 3.1(mm).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shall have the meaning ascribed to such term in Section 4.1(c).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lien, mortgage, pledge, assignment, security interest, charge or encumbrance of any kind (including any agreement to give any of the foregoing, any conditional sale or other title retention agreement, and any lease in the nature thereof) and any option, trust or other preferential arrangement having the practical effect of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xml:space="preserve">” means the Lock-Up Agreements, dated as of the date hereof, by and between the Company and each of the directors and officers of the Company as constituted following the HOD Merger, in the form of </w:t>
      </w:r>
      <w:r>
        <w:rPr>
          <w:rFonts w:ascii="Times New Roman;Times;Serif" w:hAnsi="Times New Roman;Times;Serif"/>
          <w:b w:val="false"/>
          <w:i w:val="false"/>
          <w:caps w:val="false"/>
          <w:smallCaps w:val="false"/>
          <w:sz w:val="20"/>
          <w:u w:val="single"/>
        </w:rPr>
        <w:t>Exhibit D</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shall have the meaning assigned to such term in Section 3.1(b).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shall have the meaning ascribed to such term in Section 3.1(n).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shall have the meaning ascribed to such term in Section 5.17.</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Notes</w:t>
      </w:r>
      <w:r>
        <w:rPr>
          <w:rFonts w:ascii="Times New Roman;Times;Serif" w:hAnsi="Times New Roman;Times;Serif"/>
          <w:b w:val="false"/>
          <w:i w:val="false"/>
          <w:caps w:val="false"/>
          <w:smallCaps w:val="false"/>
          <w:sz w:val="20"/>
        </w:rPr>
        <w:t xml:space="preserve">” means the Senior Secured Convertible Notes due, subject to the terms therein, May 4, 2026, issued by the Company to the Purchasers hereunder, in the form of </w:t>
      </w:r>
      <w:r>
        <w:rPr>
          <w:rFonts w:ascii="Times New Roman;Times;Serif" w:hAnsi="Times New Roman;Times;Serif"/>
          <w:b w:val="false"/>
          <w:i w:val="false"/>
          <w:caps w:val="false"/>
          <w:smallCaps w:val="false"/>
          <w:sz w:val="20"/>
          <w:u w:val="single"/>
        </w:rPr>
        <w:t>Exhibit A</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Notice Termination Time</w:t>
      </w:r>
      <w:r>
        <w:rPr>
          <w:rFonts w:ascii="Times New Roman;Times;Serif" w:hAnsi="Times New Roman;Times;Serif"/>
          <w:b w:val="false"/>
          <w:i w:val="false"/>
          <w:caps w:val="false"/>
          <w:smallCaps w:val="false"/>
          <w:sz w:val="20"/>
        </w:rPr>
        <w:t>” shall have the meaning ascribed to such term in Section 4.12(c).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Participation Maximum</w:t>
      </w:r>
      <w:r>
        <w:rPr>
          <w:rFonts w:ascii="Times New Roman;Times;Serif" w:hAnsi="Times New Roman;Times;Serif"/>
          <w:b w:val="false"/>
          <w:i w:val="false"/>
          <w:caps w:val="false"/>
          <w:smallCaps w:val="false"/>
          <w:sz w:val="20"/>
        </w:rPr>
        <w:t>” shall have the meaning ascribed to such term in Section 4.12(a).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 individual or corporation, partnership, trust, incorporated or unincorporated association, joint venture, limited liability company, joint stock company, government (or an agency or subdivision thereof) or other entity of any kind.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shall have the meaning ascribed to such term in Section 3.1(mm).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Principal Amount</w:t>
      </w:r>
      <w:r>
        <w:rPr>
          <w:rFonts w:ascii="Times New Roman;Times;Serif" w:hAnsi="Times New Roman;Times;Serif"/>
          <w:b w:val="false"/>
          <w:i w:val="false"/>
          <w:caps w:val="false"/>
          <w:smallCaps w:val="false"/>
          <w:sz w:val="20"/>
        </w:rPr>
        <w:t>” means, as to each Purchaser, the amounts set forth below such Purchaser’s signature block on the signature pages hereto next to the heading “Principal Amount,” in United States Dollars, which shall equal such Purchaser’s Subscription Amount multiplied by 4/3.</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Rata Portion</w:t>
      </w:r>
      <w:r>
        <w:rPr>
          <w:rFonts w:ascii="Times New Roman;Times;Serif" w:hAnsi="Times New Roman;Times;Serif"/>
          <w:b w:val="false"/>
          <w:i w:val="false"/>
          <w:caps w:val="false"/>
          <w:smallCaps w:val="false"/>
          <w:sz w:val="20"/>
        </w:rPr>
        <w:t>” shall have the meaning ascribed to such term in Section 4.12(e).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Proceeding</w:t>
      </w:r>
      <w:r>
        <w:rPr>
          <w:rFonts w:ascii="Times New Roman;Times;Serif" w:hAnsi="Times New Roman;Times;Serif"/>
          <w:b w:val="false"/>
          <w:i w:val="false"/>
          <w:caps w:val="false"/>
          <w:smallCaps w:val="false"/>
          <w:sz w:val="20"/>
        </w:rPr>
        <w:t>” means an action, claim, suit, investigation or proceeding (including, without limitation, an informal investigation or partial proceeding, such as a deposition), whether commenced or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shall have the meaning ascribed to such term in Section 3.1(mm).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Information Failure</w:t>
      </w:r>
      <w:r>
        <w:rPr>
          <w:rFonts w:ascii="Times New Roman;Times;Serif" w:hAnsi="Times New Roman;Times;Serif"/>
          <w:b w:val="false"/>
          <w:i w:val="false"/>
          <w:caps w:val="false"/>
          <w:smallCaps w:val="false"/>
          <w:sz w:val="20"/>
        </w:rPr>
        <w:t>” shall have the meaning ascribed to such term in Section 4.3(b).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Information Failure Payments</w:t>
      </w:r>
      <w:r>
        <w:rPr>
          <w:rFonts w:ascii="Times New Roman;Times;Serif" w:hAnsi="Times New Roman;Times;Serif"/>
          <w:b w:val="false"/>
          <w:i w:val="false"/>
          <w:caps w:val="false"/>
          <w:smallCaps w:val="false"/>
          <w:sz w:val="20"/>
        </w:rPr>
        <w:t>” shall have the meaning ascribed to such term in Section 4.3(b).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shall have the meaning ascribed to such term in Section 4.10.</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xml:space="preserve">” means the Registration Rights Agreement, dated on or about the date hereof, among the Company and the Purchasers, in the form of </w:t>
      </w:r>
      <w:r>
        <w:rPr>
          <w:rFonts w:ascii="Times New Roman;Times;Serif" w:hAnsi="Times New Roman;Times;Serif"/>
          <w:b w:val="false"/>
          <w:i w:val="false"/>
          <w:caps w:val="false"/>
          <w:smallCaps w:val="false"/>
          <w:sz w:val="20"/>
          <w:u w:val="single"/>
        </w:rPr>
        <w:t>Exhibit B</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 registration statement meeting the requirements set forth in the Registration Rights Agreement and covering the resale of the Underlying Shares by each Purchaser as provided for in the Registration Rights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 Date</w:t>
      </w:r>
      <w:r>
        <w:rPr>
          <w:rFonts w:ascii="Times New Roman;Times;Serif" w:hAnsi="Times New Roman;Times;Serif"/>
          <w:b w:val="false"/>
          <w:i w:val="false"/>
          <w:caps w:val="false"/>
          <w:smallCaps w:val="false"/>
          <w:sz w:val="20"/>
        </w:rPr>
        <w:t>” means the date that is ninety (90) calendar days after the earlier of (x) such time one or more Registration Statement(s) covering the resale of all Registrable Instruments (as defined in the Registration Rights Agreement) has been effective and available for the re-sale of all such Registrable Instruments (for avoidance of doubt, this clause (x) shall only apply if no Registrable Instruments are cutback from any Registration Statement) or (y) such time as all of the Registrable Instruments may be sold without restriction or limitation pursuant to Rule 144 and without the requirement to be in compliance with Rule 144(c)(1).</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 shall have the meaning ascribed to such term in Section 3.1(e).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Holders</w:t>
      </w:r>
      <w:r>
        <w:rPr>
          <w:rFonts w:ascii="Times New Roman;Times;Serif" w:hAnsi="Times New Roman;Times;Serif"/>
          <w:b w:val="false"/>
          <w:i w:val="false"/>
          <w:caps w:val="false"/>
          <w:smallCaps w:val="false"/>
          <w:sz w:val="20"/>
        </w:rPr>
        <w:t>” means (I) prior to the Closing Date, each of the Purchasers and (II) on or after the Closing Date, holders of at least a majority of the aggregate Principal Amount of Notes issued.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Minimum</w:t>
      </w:r>
      <w:r>
        <w:rPr>
          <w:rFonts w:ascii="Times New Roman;Times;Serif" w:hAnsi="Times New Roman;Times;Serif"/>
          <w:b w:val="false"/>
          <w:i w:val="false"/>
          <w:caps w:val="false"/>
          <w:smallCaps w:val="false"/>
          <w:sz w:val="20"/>
        </w:rPr>
        <w:t>” means, as of any date, the maximum aggregate number of shares of Common Stock then issued or potentially issuable in the future pursuant to the Transaction Documents, including any Underlying Shares issuable upon conversion in full of all Notes (including Underlying Shares issuable as payment of interest on the Notes), ignoring any conversion limits set forth therein.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144</w:t>
      </w:r>
      <w:r>
        <w:rPr>
          <w:rFonts w:ascii="Times New Roman;Times;Serif" w:hAnsi="Times New Roman;Times;Serif"/>
          <w:b w:val="false"/>
          <w:i w:val="false"/>
          <w:caps w:val="false"/>
          <w:smallCaps w:val="false"/>
          <w:sz w:val="20"/>
        </w:rPr>
        <w:t>” means Rule 144 promulgated by the Commission pursuant to the Securities Act, as such Rule may be amended from time to time, or any similar rule or regulation hereafter adopted by the Commission having substantially the same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shall have the meaning ascribed to such term in Section 3.1(h).</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Securities Act of 1933, as amended, and the rules and regulations promulgated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shall have the meaning ascribed to such term in the Registration Rights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Short Sales</w:t>
      </w:r>
      <w:r>
        <w:rPr>
          <w:rFonts w:ascii="Times New Roman;Times;Serif" w:hAnsi="Times New Roman;Times;Serif"/>
          <w:b w:val="false"/>
          <w:i w:val="false"/>
          <w:caps w:val="false"/>
          <w:smallCaps w:val="false"/>
          <w:sz w:val="20"/>
        </w:rPr>
        <w:t>” means all “short sales” as defined in Rule 200 of Regulation SHO under the Exchange Act (but shall not be deemed to include locating and/or borrowing shares of Common Stock).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shall have the meaning ascribed to such term in Section 4.1(c).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 means, as to each Purchaser, the aggregate amount to be paid for Notes (and in consideration of which such Purchaser will also receive its pro rata allocation of Commitment Shares) purchased hereunder as specified below such Purchaser’s name on the signature page of this Agreement and next to the heading “Subscription Amount,” in United States dollars and in immediately available funds.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Subsequent Financing</w:t>
      </w:r>
      <w:r>
        <w:rPr>
          <w:rFonts w:ascii="Times New Roman;Times;Serif" w:hAnsi="Times New Roman;Times;Serif"/>
          <w:b w:val="false"/>
          <w:i w:val="false"/>
          <w:caps w:val="false"/>
          <w:smallCaps w:val="false"/>
          <w:sz w:val="20"/>
        </w:rPr>
        <w:t>” shall have the meaning ascribed to such term in Section 4.12(a).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Subsequent Financing Notice</w:t>
      </w:r>
      <w:r>
        <w:rPr>
          <w:rFonts w:ascii="Times New Roman;Times;Serif" w:hAnsi="Times New Roman;Times;Serif"/>
          <w:b w:val="false"/>
          <w:i w:val="false"/>
          <w:caps w:val="false"/>
          <w:smallCaps w:val="false"/>
          <w:sz w:val="20"/>
        </w:rPr>
        <w:t>” shall have the meaning ascribed to such term in Section 4.12(b).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xml:space="preserve">” means any subsidiary of the Company as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xml:space="preserve"> and shall, where applicable, also include any direct or indirect subsidiary of the Company formed or acquired after the date hereof. “Subsidiary” of any Person shall include any corporation, limited or general partnership, limited liability company, trust, estate, association, joint venture or other business entity (a) the accounts of which would be consolidated with those of such Person in such Person’s consolidated financial statements if such financial statements were prepared in accordance with GAAP or (b) of which more than 50% of (i) the outstanding equity interests having (in the absence of contingencies) ordinary voting power to elect a majority of the board of directors of such Person, (ii) in the case of a partnership or limited liability company, the interest in the capital or profits of such partnership or limited liability company or (iii) in the case of a trust, estate, association, joint venture or other entity, the beneficial interest in such trust, estate, association or other entity business is, at the time of determination, owned or controlled directly or indirectly through one or more intermediaries, by such Person.</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Day</w:t>
      </w:r>
      <w:r>
        <w:rPr>
          <w:rFonts w:ascii="Times New Roman;Times;Serif" w:hAnsi="Times New Roman;Times;Serif"/>
          <w:b w:val="false"/>
          <w:i w:val="false"/>
          <w:caps w:val="false"/>
          <w:smallCaps w:val="false"/>
          <w:sz w:val="20"/>
        </w:rPr>
        <w:t>” means a day on which the principal Trading Market is open for trading.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Trading Market</w:t>
      </w:r>
      <w:r>
        <w:rPr>
          <w:rFonts w:ascii="Times New Roman;Times;Serif" w:hAnsi="Times New Roman;Times;Serif"/>
          <w:b w:val="false"/>
          <w:i w:val="false"/>
          <w:caps w:val="false"/>
          <w:smallCaps w:val="false"/>
          <w:sz w:val="20"/>
        </w:rPr>
        <w:t>” means any of the following markets or exchanges on which the Common Stock is listed or quoted for trading on the date in question: the NYSE American, the Nasdaq Capital Market, the Nasdaq Global Market, the Nasdaq Global Select Market, the New York Stock Exchange, the OTCQB or the OTCQX (or any successors to any of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 Documents</w:t>
      </w:r>
      <w:r>
        <w:rPr>
          <w:rFonts w:ascii="Times New Roman;Times;Serif" w:hAnsi="Times New Roman;Times;Serif"/>
          <w:b w:val="false"/>
          <w:i w:val="false"/>
          <w:caps w:val="false"/>
          <w:smallCaps w:val="false"/>
          <w:sz w:val="20"/>
        </w:rPr>
        <w:t>” means this Agreement, the Notes, the Security Agreement, the Registration Rights Agreement, the Lock-Up Agreements, the HOD Guaranty and all exhibits and schedules thereto and hereto and any other documents or agreements executed in connection with the transactions contemplated 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Transfer Agent</w:t>
      </w:r>
      <w:r>
        <w:rPr>
          <w:rFonts w:ascii="Times New Roman;Times;Serif" w:hAnsi="Times New Roman;Times;Serif"/>
          <w:b w:val="false"/>
          <w:i w:val="false"/>
          <w:caps w:val="false"/>
          <w:smallCaps w:val="false"/>
          <w:sz w:val="20"/>
        </w:rPr>
        <w:t>” means VStock Transfer, LLC, the current transfer agent of the Company, with a mailing address of 18 Lafayette Place, Woodmere, NY 11598, and any successor transfer agent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Underlying Shares</w:t>
      </w:r>
      <w:r>
        <w:rPr>
          <w:rFonts w:ascii="Times New Roman;Times;Serif" w:hAnsi="Times New Roman;Times;Serif"/>
          <w:b w:val="false"/>
          <w:i w:val="false"/>
          <w:caps w:val="false"/>
          <w:smallCaps w:val="false"/>
          <w:sz w:val="20"/>
        </w:rPr>
        <w:t>” means the Conversion Shares, including without limitation, shares of Common Stock issued and issuable in lieu of the cash payment of interest on the Notes in accordance with the terms of the Notes, in each case without respect to any limitation or restriction on the conversion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shall have the meaning ascribed to such term in Section 4.13(b).</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VWAP</w:t>
      </w:r>
      <w:r>
        <w:rPr>
          <w:rFonts w:ascii="Times New Roman;Times;Serif" w:hAnsi="Times New Roman;Times;Serif"/>
          <w:b w:val="false"/>
          <w:i w:val="false"/>
          <w:caps w:val="false"/>
          <w:smallCaps w:val="false"/>
          <w:sz w:val="20"/>
        </w:rPr>
        <w:t>” means, for any date, the price determined by the first of the following clauses that applies: (a) if the Common Stock is then listed or quoted on a Trading Market, the daily volume weighted average price of the Common Stock for such date (or the nearest preceding date) on the Trading Market on which the Common Stock is then listed or quoted as reported by Bloomberg L.P. (based on a Trading Day from 9:30 a.m. (New York City time) to 4:02 p.m. (New York City time)), (b) if OTCQB or OTCQX is not a Trading Market, the volume weighted average price of the Common Stock for such date (or the nearest preceding date) on OTCQB or OTCQX as applicable, (c) if the Common Stock is not then listed or quoted for trading on OTCQB or OTCQX and if prices for the Common Stock are then reported on the Pink Open Market (or a similar organization or agency succeeding to its functions of reporting prices), the most recent bid price per share of the Common Stock so reported, or (d) in all other cases, the fair market value of a share of Common Stock as determined by an independent appraiser selected in good faith by the Required Holders then outstanding and reasonably acceptable to the Company, the fees and expenses of which shall be paid by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Yorkville</w:t>
      </w:r>
      <w:r>
        <w:rPr>
          <w:rFonts w:ascii="Times New Roman;Times;Serif" w:hAnsi="Times New Roman;Times;Serif"/>
          <w:b w:val="false"/>
          <w:i w:val="false"/>
          <w:caps w:val="false"/>
          <w:smallCaps w:val="false"/>
          <w:sz w:val="20"/>
        </w:rPr>
        <w:t>” means YA II PN LTD., a Cayman Islands exempt limited partnership and/or its affiliates.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PURCHASE AND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On the Closing Date, upon the terms and subject to the conditions set forth herein, substantially concurrent with the execution and delivery of this Agreement by the parties hereto, the Company agrees to sell, and the Purchasers, severally and not jointly, agree to purchase, up to an aggregate of $2,500,000 in principal amount of the Notes ($1,875,000 funded net of original issue discount). Each Purchaser shall deliver to the Company’s bank account specified in the Company’s wire instructions, as set forth in a letter addressed to the Purchasers on the Company’s letterhead and executed by the Company’s Chief Financial Officer or Chief Executive Officer, via wire transfer or a certified check, immediately available funds equal to such Purchaser’s Subscription Amount as set forth on the signature page hereto executed by such Purchaser, and the Company shall deliver to each Purchaser its respective Note and such Purchaser’s pro rata allocation of Commitment Shares, as determined pursuant to Section 2.2(a), and the Company and each Purchaser shall deliver the other items set forth in Section 2.2 deliverable at the Closing. Upon satisfaction of the covenants and conditions set forth in Sections 2.2 and 2.3, the Closing shall take place remotely by electronic transfer of the Closing documentation.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w:t>
      </w:r>
      <w:r>
        <w:rPr>
          <w:rFonts w:ascii="Times New Roman;Times;Serif" w:hAnsi="Times New Roman;Times;Serif"/>
          <w:b w:val="false"/>
          <w:i w:val="false"/>
          <w:caps w:val="false"/>
          <w:smallCaps w:val="false"/>
          <w:sz w:val="20"/>
          <w:u w:val="single"/>
        </w:rPr>
        <w:t>Deliveries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the Closing Date, the Company shall deliver or cause to be delivered to each Purchaser the following:</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 legal opinion of Company Counsel, substantially in the form of </w:t>
      </w:r>
      <w:r>
        <w:rPr>
          <w:rFonts w:ascii="Times New Roman;Times;Serif" w:hAnsi="Times New Roman;Times;Serif"/>
          <w:b w:val="false"/>
          <w:i w:val="false"/>
          <w:caps w:val="false"/>
          <w:smallCaps w:val="false"/>
          <w:sz w:val="20"/>
          <w:u w:val="single"/>
        </w:rPr>
        <w:t>Exhibit H</w:t>
      </w:r>
      <w:r>
        <w:rPr>
          <w:rFonts w:ascii="Times New Roman;Times;Serif" w:hAnsi="Times New Roman;Times;Serif"/>
          <w:b w:val="false"/>
          <w:i w:val="false"/>
          <w:caps w:val="false"/>
          <w:smallCaps w:val="false"/>
          <w:sz w:val="20"/>
        </w:rPr>
        <w:t xml:space="preserve"> attached hereto;</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 officer’s certificate, executed by the Chief Executive Officer or Chief Financial Officer of the Company, certifying (i) the accuracy in all material respects of the Company’s representations and warranties as of the Closing Date, (ii) the performance in all material respects of all covenants required to be performed by the Company on or prior to the Closing Date, and (iii) the incumbency and authority of the officers executing the Transaction Documents;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 Note with a principal amount equal to such Purchaser’s Subscription Amount multiplied by 4/3, registered in the name of such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 number of shares of Common Stock equal to such Purchaser’s pro rata portion of the Commitment Shares (based on such Purchaser’s Subscription Amount as a percentage of the aggregate Subscription Amounts of all Purchasers), registered in the name of such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the Company shall have provided each Purchaser with the wire instructions of the Company, on Company letterhead and executed by the Chief Executive Officer or Chief Financial Officer;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Lock-Up Agreements;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Registration Rights Agreement duly executed by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Security Agreement duly executed by the Company and House of Doge;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Company shall have delivered to such Purchaser such other documents relating to the transactions contemplated by this Agreement as such Purchaser or its counsel may reasonably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or prior to the Closing Date, each Purchaser shall deliver or cause to be delivered to the Company the following:</w:t>
      </w:r>
    </w:p>
    <w:p>
      <w:pPr>
        <w:pStyle w:val="TextBody"/>
        <w:bidi w:val="0"/>
        <w:spacing w:before="0" w:after="0"/>
        <w:ind w:left="2880" w:right="0" w:hanging="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this Agreement duly executed by such Purchaser;</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Purchaser’s Subscription Amount by wire transfer to the account specified in writing by the Company;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Registration Rights Agreement duly executed by such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obligations of the Company hereunder in connection with the Closing are subject to the following conditions being met: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in all respects) on the Closing Date of the representations and warranties of the Purchasers contained herein (unless as of a specific date therein in which case they shall be accurate in all material respects (or, to the extent representations or warranties are qualified by materiality,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each Purchaser required to be performed at or prior to the Closing Date shall have been performed;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each Purchaser of the items set forth in Section 2.2(b) of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respective obligations of the Purchasers hereunder in connection with the Closing are subject to the following conditions being met: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accuracy in all material respects (or, to the extent representations or warranties are qualified by materiality or Material Adverse Effect, in all respects) when made and on the Closing Date of the representations and warranties of the Company contained herein (unless as of a specific date therein in which case they shall be accurate in all material respects or, to the extent representations or warranties are qualified by materiality or Material Adverse Effect, in all respects) as of such date;</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all obligations, covenants and agreements of the Company required to be performed at or prior to the Closing Date shall have been performed;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delivery by the Company of the items set forth in Section 2.2(a) of this Agreement;</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there shall have been no Material Adverse Effect with respect to the Company;</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proof of submission of a listing of additional shares to the Nasdaq Capital Market setting forth the terms of transaction contemplated by the Transaction Documents;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each Purchaser shall have completed, to its sole satisfaction, its due diligence review of the Company and its Subsidiaries, including their respective businesses, financial condition, assets, liabilities, operations, and prospects;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from the date hereof to the Closing Date, trading in the Common Stock shall not have been suspended by the Commission or the Company’s principal Trading Market and, at any time prior to the Closing Date, trading in securities generally as reported by Bloomberg L.P. shall not have been suspended or limited, or minimum prices shall not have been established on securities whose trades are reported by such service, or on any Trading Market, nor shall a banking moratorium have been declared either by the United States or New York State authorities nor shall there have occurred any material outbreak or escalation of hostilities or other national or international calamity of such magnitude in its effect on, or any material adverse change in, any financial market which, in each case, in the reasonable judgment of such Purchaser, makes it impracticable or inadvisable to purchase the Instruments at the Closing; and the Company shall have obtained from Yorkville, in form and substance satisfactory to the Purchasers, (A) a duly executed subordination agreement and (B) any other consent, acknowledgment, or amendment required under the Yorkville financing documents in connection with the transactions contemplated by the Transaction Documents.</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144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ind w:left="0" w:right="0" w:hanging="0"/>
        <w:jc w:val="left"/>
        <w:rPr/>
      </w:pPr>
      <w:r>
        <w:rPr/>
        <w:t> </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III.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REPRESENTATIONS AND WARRANTIES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w:t>
      </w:r>
      <w:r>
        <w:rPr>
          <w:rFonts w:ascii="Times New Roman;Times;Serif" w:hAnsi="Times New Roman;Times;Serif"/>
          <w:b w:val="false"/>
          <w:i w:val="false"/>
          <w:caps w:val="false"/>
          <w:smallCaps w:val="false"/>
          <w:sz w:val="20"/>
          <w:u w:val="single"/>
        </w:rPr>
        <w:t>Representations and Warranties of the Company</w:t>
      </w:r>
      <w:r>
        <w:rPr>
          <w:rFonts w:ascii="Times New Roman;Times;Serif" w:hAnsi="Times New Roman;Times;Serif"/>
          <w:b w:val="false"/>
          <w:i w:val="false"/>
          <w:caps w:val="false"/>
          <w:smallCaps w:val="false"/>
          <w:sz w:val="20"/>
        </w:rPr>
        <w:t>. Except as set forth in the Disclosure Schedules, which Disclosure Schedules shall be deemed a part hereof and shall qualify any representation or otherwise made herein to the extent of the disclosure contained in the corresponding section of the Disclosure Schedules, the Company hereby makes the following representations and warranties to each Purchaser: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Subsidiaries</w:t>
      </w:r>
      <w:r>
        <w:rPr>
          <w:rFonts w:ascii="Times New Roman;Times;Serif" w:hAnsi="Times New Roman;Times;Serif"/>
          <w:b w:val="false"/>
          <w:i w:val="false"/>
          <w:caps w:val="false"/>
          <w:smallCaps w:val="false"/>
          <w:sz w:val="20"/>
        </w:rPr>
        <w:t xml:space="preserve">. All of the direct and indirect subsidiaries of the Company are set forth on </w:t>
      </w:r>
      <w:r>
        <w:rPr>
          <w:rFonts w:ascii="Times New Roman;Times;Serif" w:hAnsi="Times New Roman;Times;Serif"/>
          <w:b w:val="false"/>
          <w:i w:val="false"/>
          <w:caps w:val="false"/>
          <w:smallCaps w:val="false"/>
          <w:sz w:val="20"/>
          <w:u w:val="single"/>
        </w:rPr>
        <w:t>Schedule 3.1(a)</w:t>
      </w:r>
      <w:r>
        <w:rPr>
          <w:rFonts w:ascii="Times New Roman;Times;Serif" w:hAnsi="Times New Roman;Times;Serif"/>
          <w:b w:val="false"/>
          <w:i w:val="false"/>
          <w:caps w:val="false"/>
          <w:smallCaps w:val="false"/>
          <w:sz w:val="20"/>
        </w:rPr>
        <w: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Each Subsidiary is dormant, has no assets, has immaterial liabilities for accounts payable, and latent accrued expenses, which have not been realized and any settlement would be immaterial to the Company as a whole.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Organization and Qualification</w:t>
      </w:r>
      <w:r>
        <w:rPr>
          <w:rFonts w:ascii="Times New Roman;Times;Serif" w:hAnsi="Times New Roman;Times;Serif"/>
          <w:b w:val="false"/>
          <w:i w:val="false"/>
          <w:caps w:val="false"/>
          <w:smallCaps w:val="false"/>
          <w:sz w:val="20"/>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would not have or reasonably be expected to result in: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 (any of (i), (ii) or (iii),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and no Proceeding has been instituted in any such jurisdiction revoking, limiting or curtailing or seeking to revoke, limit or curtail such power and authority or qualification; provided, however, that “Material Adverse Effect” shall not include any event, occurrence, fact, condition or change, directly or indirectly, arising out of or attributable to: (i) general economic or political conditions, (ii) any changes in financial or securities markets in general, (iii) acts of war (whether or not declared), armed hostilities or terrorism, or the escalation or worsening thereof, (iv) any pandemic, epidemics or human health crises (including COVID-19), (v) any changes in applicable laws or accounting rules, (vi) the announcement, pendency or completion of the transactions contemplated by the Transaction Documents, or (vii) any action required or permitted by the Transaction Documents or any action taken (or omitted to be taken) with the written consent of or at the written request of the Purchasers holding a majority in principal amount outstanding of the Notes).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Authorization; Enforcement</w:t>
      </w:r>
      <w:r>
        <w:rPr>
          <w:rFonts w:ascii="Times New Roman;Times;Serif" w:hAnsi="Times New Roman;Times;Serif"/>
          <w:b w:val="false"/>
          <w:i w:val="false"/>
          <w:caps w:val="false"/>
          <w:smallCaps w:val="false"/>
          <w:sz w:val="20"/>
        </w:rPr>
        <w:t>.</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Company has the requisite corporate power and authority to enter into and to consummate the transactions contemplated by this Agreement and each of the other Transaction Documents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it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or (iii) insofar as indemnification and contribution provisions may be limited by applicable law.</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ind w:left="0" w:right="0" w:hanging="0"/>
        <w:jc w:val="left"/>
        <w:rPr/>
      </w:pPr>
      <w:r>
        <w:rPr/>
        <w:t> </w:t>
      </w:r>
    </w:p>
    <w:p>
      <w:pPr>
        <w:pStyle w:val="TextBody"/>
        <w:bidi w:val="0"/>
        <w:spacing w:before="0" w:after="0"/>
        <w:ind w:left="720" w:right="0" w:firstLine="144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No Conflicts</w:t>
      </w:r>
      <w:r>
        <w:rPr>
          <w:rFonts w:ascii="Times New Roman;Times;Serif" w:hAnsi="Times New Roman;Times;Serif"/>
          <w:b w:val="false"/>
          <w:i w:val="false"/>
          <w:caps w:val="false"/>
          <w:smallCaps w:val="false"/>
          <w:sz w:val="20"/>
        </w:rPr>
        <w:t>. The execution, delivery and performance by the Company of this Agreement and the other Transaction Documents to which it is a party, the issuance and sale of the Instruments and the consummation by it of the transactions contemplated hereby and thereby do not and will not (i) conflict with or violate any provision of the Company’s or any Subsidiary’s certificate or articles of incorporation, bylaws or other organizational or charter documents, or (ii) subject to the Required Approvals,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would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Filings, Consents and Approvals</w:t>
      </w:r>
      <w:r>
        <w:rPr>
          <w:rFonts w:ascii="Times New Roman;Times;Serif" w:hAnsi="Times New Roman;Times;Serif"/>
          <w:b w:val="false"/>
          <w:i w:val="false"/>
          <w:caps w:val="false"/>
          <w:smallCaps w:val="false"/>
          <w:sz w:val="20"/>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filings required pursuant to Section 4.6 of this Agreement, (ii) the filing with the Commission pursuant to the Registration Rights Agreement, (iii) the notice and/or application(s) to each applicable Trading Market for the issuance and sale of the Instruments and the listing of the Underlying Shares for trading thereon in the time and manner required thereby, and (iv) the filing of Form D with the Commission and such filings as are required to be made under applicable state securities laws (collectively, the “</w:t>
      </w:r>
      <w:r>
        <w:rPr>
          <w:rFonts w:ascii="Times New Roman;Times;Serif" w:hAnsi="Times New Roman;Times;Serif"/>
          <w:b w:val="false"/>
          <w:i w:val="false"/>
          <w:caps w:val="false"/>
          <w:smallCaps w:val="false"/>
          <w:sz w:val="20"/>
          <w:u w:val="single"/>
        </w:rPr>
        <w:t>Required Approvals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Issuance of the Instruments</w:t>
      </w:r>
      <w:r>
        <w:rPr>
          <w:rFonts w:ascii="Times New Roman;Times;Serif" w:hAnsi="Times New Roman;Times;Serif"/>
          <w:b w:val="false"/>
          <w:i w:val="false"/>
          <w:caps w:val="false"/>
          <w:smallCaps w:val="false"/>
          <w:sz w:val="20"/>
        </w:rPr>
        <w:t>. The Instruments are duly authorized and, when issued and paid for in accordance with the applicable Transaction Documents, will be duly and validly issued, fully paid and nonassessable, free and clear of all Liens imposed by the Company other than restrictions on transfer provided for in the Transaction Documents. The Underlying Shares, when issued in accordance with the terms of the Transaction Documents, will be validly issued, fully paid and nonassessable, free and clear of all Liens imposed by the Company other than restrictions on transfer provided for in the Transaction Documents. The Company has reserved from its duly authorized capital stock a number of shares of Common Stock for issuance of the Underlying Shares at least equal to the Required Minimum on the date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Capitalization</w:t>
      </w:r>
      <w:r>
        <w:rPr>
          <w:rFonts w:ascii="Times New Roman;Times;Serif" w:hAnsi="Times New Roman;Times;Serif"/>
          <w:b w:val="false"/>
          <w:i w:val="false"/>
          <w:caps w:val="false"/>
          <w:smallCaps w:val="false"/>
          <w:sz w:val="20"/>
        </w:rPr>
        <w:t xml:space="preserve">. The capitalization of the Company as of the date hereof is as set forth on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which </w:t>
      </w:r>
      <w:r>
        <w:rPr>
          <w:rFonts w:ascii="Times New Roman;Times;Serif" w:hAnsi="Times New Roman;Times;Serif"/>
          <w:b w:val="false"/>
          <w:i w:val="false"/>
          <w:caps w:val="false"/>
          <w:smallCaps w:val="false"/>
          <w:sz w:val="20"/>
          <w:u w:val="single"/>
        </w:rPr>
        <w:t>Schedule 3.1(g)</w:t>
      </w:r>
      <w:r>
        <w:rPr>
          <w:rFonts w:ascii="Times New Roman;Times;Serif" w:hAnsi="Times New Roman;Times;Serif"/>
          <w:b w:val="false"/>
          <w:i w:val="false"/>
          <w:caps w:val="false"/>
          <w:smallCaps w:val="false"/>
          <w:sz w:val="20"/>
        </w:rPr>
        <w:t xml:space="preserve"> shall also include the number of shares of Common Stock owned beneficially, and of record, by Affiliates of the Company as of the date hereof. The Company has not issued any capital stock since its most recently filed periodic report under the Exchange Act, other than pursuant to the exercise of employee stock options under the Company’s stock option plans, the issuance of shares of Common Stock to employees pursuant to the Company’s employee stock purchase plans and pursuant to the conversion and/or exercise of Common Stock Equivalents outstanding as of the date of the most recently filed periodic report under the Exchange Act. Except as set forth on </w:t>
      </w:r>
      <w:r>
        <w:rPr>
          <w:rFonts w:ascii="Times New Roman;Times;Serif" w:hAnsi="Times New Roman;Times;Serif"/>
          <w:b w:val="false"/>
          <w:i w:val="false"/>
          <w:caps w:val="false"/>
          <w:smallCaps w:val="false"/>
          <w:sz w:val="20"/>
          <w:u w:val="single"/>
        </w:rPr>
        <w:t>Schedule 3.1(g)(i)</w:t>
      </w:r>
      <w:r>
        <w:rPr>
          <w:rFonts w:ascii="Times New Roman;Times;Serif" w:hAnsi="Times New Roman;Times;Serif"/>
          <w:b w:val="false"/>
          <w:i w:val="false"/>
          <w:caps w:val="false"/>
          <w:smallCaps w:val="false"/>
          <w:sz w:val="20"/>
        </w:rPr>
        <w:t xml:space="preserve">, no Person has any right of first refusal, preemptive right, right of participation, or any similar right to participate in the transactions contemplated by the Transaction Documents. Except as set forth on </w:t>
      </w:r>
      <w:r>
        <w:rPr>
          <w:rFonts w:ascii="Times New Roman;Times;Serif" w:hAnsi="Times New Roman;Times;Serif"/>
          <w:b w:val="false"/>
          <w:i w:val="false"/>
          <w:caps w:val="false"/>
          <w:smallCaps w:val="false"/>
          <w:sz w:val="20"/>
          <w:u w:val="single"/>
        </w:rPr>
        <w:t>Schedule 3.1(g)(i)</w:t>
      </w:r>
      <w:r>
        <w:rPr>
          <w:rFonts w:ascii="Times New Roman;Times;Serif" w:hAnsi="Times New Roman;Times;Serif"/>
          <w:b w:val="false"/>
          <w:i w:val="false"/>
          <w:caps w:val="false"/>
          <w:smallCaps w:val="false"/>
          <w:sz w:val="20"/>
        </w:rPr>
        <w:t xml:space="preserve">,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the capital stock of any Subsidiary, or contracts, commitments, understandings or arrangements by which the Company or any Subsidiary is or may become bound to issue additional shares of Common Stock or Common Stock Equivalents or capital stock of any Subsidiary. The issuance and sale of the Instruments will not obligate the Company or any Subsidiary to issue shares of Common Stock or other securities to any Person (other than the Purchasers). Except as set forth on </w:t>
      </w:r>
      <w:r>
        <w:rPr>
          <w:rFonts w:ascii="Times New Roman;Times;Serif" w:hAnsi="Times New Roman;Times;Serif"/>
          <w:b w:val="false"/>
          <w:i w:val="false"/>
          <w:caps w:val="false"/>
          <w:smallCaps w:val="false"/>
          <w:sz w:val="20"/>
          <w:u w:val="single"/>
        </w:rPr>
        <w:t>Schedule 3.1(g)(i), t</w:t>
      </w:r>
      <w:r>
        <w:rPr>
          <w:rFonts w:ascii="Times New Roman;Times;Serif" w:hAnsi="Times New Roman;Times;Serif"/>
          <w:b w:val="false"/>
          <w:i w:val="false"/>
          <w:caps w:val="false"/>
          <w:smallCaps w:val="false"/>
          <w:sz w:val="20"/>
        </w:rPr>
        <w:t>here are no outstanding securities or instruments of the Company or any Subsidiary with any provision that adjusts the exercise, conversion, exchange or reset price of such security or instrument upon an issuance of securities by the Company or any Subsidiary. There are no outstanding securities or instruments of the Company or any Subsidiary that contain any redemption or similar provisions, and there are no contracts, commitments, understandings or arrangements by which the Company or any Subsidiary is or may become bound to redeem a security of the Company or such Subsidiary. The Company does not have any stock appreciation rights or “phantom stock” plans or agreements or any similar plan or agreement.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No further approval or authorization of any stockholder, the Board of Directors or others is required for the issuance and sale of the Instruments. There are no stockholders agreements, voting agreements or other similar agreements with respect to the Company’s capital stock to which the Company is a party or, to the knowledge of the Company, between or among any of the Company’s stockholders.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SEC Reports; Financial Statements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3.1(h), t</w:t>
      </w:r>
      <w:r>
        <w:rPr>
          <w:rFonts w:ascii="Times New Roman;Times;Serif" w:hAnsi="Times New Roman;Times;Serif"/>
          <w:b w:val="false"/>
          <w:i w:val="false"/>
          <w:caps w:val="false"/>
          <w:smallCaps w:val="false"/>
          <w:sz w:val="20"/>
        </w:rPr>
        <w:t>he Company has filed all reports, schedules, forms, statements and other documents required to be filed by the Company under the Securities Act and the Exchange Act, including pursuant to Section 13(a) or 15(d) thereof, for the two years preceding the date hereof (or such shorter period as the Company was required by law or regulation to file such material) (the foregoing materials, including the exhibits thereto and documents incorporated by reference therein, being collectively referred to herein as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on a timely basis or has received a valid extension of such time of filing and has filed any such SEC Reports prior to the expiration of any such extension. As of their respective dates, the SEC Reports complied in all material respects with the requirements of the Securities Act and the Exchange Act, as applicable,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the Company included in the SEC Reports comply in all material respects with applicable accounting requirements and the rules and regulations of the Commission with respect thereto as in effect at the time of filing. Such financial statements have been prepared in accordance with United States generally accepted accounting principles applied on a consistent basis during the periods involved (“</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except as may be otherwise specified in such financial statements or the notes thereto and except that unaudited financial statements may not contain all footnotes required by GAAP, and fairly present in all material respects the financial position of the Company and its consolidated Subsidiaries as of and for the dates thereof and the results of operations and cash flows for the periods then ended, subject, in the case of unaudited statements, to normal, immaterial, year-end audit adjustments.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Material Changes; Undisclosed Events, Liabilities or Developments</w:t>
      </w:r>
      <w:r>
        <w:rPr>
          <w:rFonts w:ascii="Times New Roman;Times;Serif" w:hAnsi="Times New Roman;Times;Serif"/>
          <w:b w:val="false"/>
          <w:i w:val="false"/>
          <w:caps w:val="false"/>
          <w:smallCaps w:val="false"/>
          <w:sz w:val="20"/>
        </w:rPr>
        <w:t xml:space="preserve">. Since the date of the latest audited financial statements included within the SEC Reports, except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xml:space="preserve">, (i) there has been no event, occurrence or development that has had or that would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and (v) the Company has not issued any equity securities to any officer, director or Affiliate, except pursuant to existing Company stock option plans. The Company does not have pending before the Commission any request for confidential treatment of information. Except for the issuance of the Instruments contemplated by this Agreement or as set forth on </w:t>
      </w:r>
      <w:r>
        <w:rPr>
          <w:rFonts w:ascii="Times New Roman;Times;Serif" w:hAnsi="Times New Roman;Times;Serif"/>
          <w:b w:val="false"/>
          <w:i w:val="false"/>
          <w:caps w:val="false"/>
          <w:smallCaps w:val="false"/>
          <w:sz w:val="20"/>
          <w:u w:val="single"/>
        </w:rPr>
        <w:t>Schedule 3.1(i)</w:t>
      </w:r>
      <w:r>
        <w:rPr>
          <w:rFonts w:ascii="Times New Roman;Times;Serif" w:hAnsi="Times New Roman;Times;Serif"/>
          <w:b w:val="false"/>
          <w:i w:val="false"/>
          <w:caps w:val="false"/>
          <w:smallCaps w:val="false"/>
          <w:sz w:val="20"/>
        </w:rPr>
        <w: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at the time this representation is made or deemed made that has not been publicly disclosed at least 1 Trading Day prior to the date that this representation is made.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3.1(j)</w:t>
      </w:r>
      <w:r>
        <w:rPr>
          <w:rFonts w:ascii="Times New Roman;Times;Serif" w:hAnsi="Times New Roman;Times;Serif"/>
          <w:b w:val="false"/>
          <w:i w:val="false"/>
          <w:caps w:val="false"/>
          <w:smallCaps w:val="false"/>
          <w:sz w:val="20"/>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Times New Roman;Times;Serif" w:hAnsi="Times New Roman;Times;Serif"/>
          <w:b w:val="false"/>
          <w:i w:val="false"/>
          <w:caps w:val="false"/>
          <w:smallCaps w:val="false"/>
          <w:sz w:val="20"/>
          <w:u w:val="single"/>
        </w:rPr>
        <w:t>Action</w:t>
      </w:r>
      <w:r>
        <w:rPr>
          <w:rFonts w:ascii="Times New Roman;Times;Serif" w:hAnsi="Times New Roman;Times;Serif"/>
          <w:b w:val="false"/>
          <w:i w:val="false"/>
          <w:caps w:val="false"/>
          <w:smallCaps w:val="false"/>
          <w:sz w:val="20"/>
        </w:rPr>
        <w:t xml:space="preserve">”). None of the Actions set forth on </w:t>
      </w:r>
      <w:r>
        <w:rPr>
          <w:rFonts w:ascii="Times New Roman;Times;Serif" w:hAnsi="Times New Roman;Times;Serif"/>
          <w:b w:val="false"/>
          <w:i w:val="false"/>
          <w:caps w:val="false"/>
          <w:smallCaps w:val="false"/>
          <w:sz w:val="20"/>
          <w:u w:val="single"/>
        </w:rPr>
        <w:t>Schedule 3.1(j)</w:t>
      </w:r>
      <w:r>
        <w:rPr>
          <w:rFonts w:ascii="Times New Roman;Times;Serif" w:hAnsi="Times New Roman;Times;Serif"/>
          <w:b w:val="false"/>
          <w:i w:val="false"/>
          <w:caps w:val="false"/>
          <w:smallCaps w:val="false"/>
          <w:sz w:val="20"/>
        </w:rPr>
        <w:t>, (i) adversely affects or challenges the legality, validity or enforceability of any of the Transaction Documents or the Instruments or (ii) would,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Labor Relations</w:t>
      </w:r>
      <w:r>
        <w:rPr>
          <w:rFonts w:ascii="Times New Roman;Times;Serif" w:hAnsi="Times New Roman;Times;Serif"/>
          <w:b w:val="false"/>
          <w:i w:val="false"/>
          <w:caps w:val="false"/>
          <w:smallCaps w:val="false"/>
          <w:sz w:val="20"/>
        </w:rPr>
        <w:t>. No labor dispute exists or, to the knowledge of the Company, is imminent with respect to any of the employees of the Company, which would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would not, individually or in the aggregate, reasonably be expected to have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Compliance</w:t>
      </w:r>
      <w:r>
        <w:rPr>
          <w:rFonts w:ascii="Times New Roman;Times;Serif" w:hAnsi="Times New Roman;Times;Serif"/>
          <w:b w:val="false"/>
          <w:i w:val="false"/>
          <w:caps w:val="false"/>
          <w:smallCaps w:val="false"/>
          <w:sz w:val="20"/>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taxes, environmental protection, occupational health and safety, product quality and safety and employment and labor matters, except in each case as would not have or reasonably be expected to result in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Times New Roman;Times;Serif" w:hAnsi="Times New Roman;Times;Serif"/>
          <w:b w:val="false"/>
          <w:i w:val="false"/>
          <w:caps w:val="false"/>
          <w:smallCaps w:val="false"/>
          <w:sz w:val="20"/>
          <w:u w:val="single"/>
        </w:rPr>
        <w:t>Hazardous Materials</w:t>
      </w:r>
      <w:r>
        <w:rPr>
          <w:rFonts w:ascii="Times New Roman;Times;Serif" w:hAnsi="Times New Roman;Times;Serif"/>
          <w:b w:val="false"/>
          <w:i w:val="false"/>
          <w:caps w:val="false"/>
          <w:smallCaps w:val="false"/>
          <w:sz w:val="20"/>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would be reasonably expected to have, individually or in the aggregate, a Material Adverse Effect.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w:t>
      </w:r>
      <w:r>
        <w:rPr>
          <w:rFonts w:ascii="Times New Roman;Times;Serif" w:hAnsi="Times New Roman;Times;Serif"/>
          <w:b w:val="false"/>
          <w:i w:val="false"/>
          <w:caps w:val="false"/>
          <w:smallCaps w:val="false"/>
          <w:sz w:val="20"/>
          <w:u w:val="single"/>
        </w:rPr>
        <w:t>Regulatory Permits</w:t>
      </w:r>
      <w:r>
        <w:rPr>
          <w:rFonts w:ascii="Times New Roman;Times;Serif" w:hAnsi="Times New Roman;Times;Serif"/>
          <w:b w:val="false"/>
          <w:i w:val="false"/>
          <w:caps w:val="false"/>
          <w:smallCaps w:val="false"/>
          <w:sz w:val="20"/>
        </w:rPr>
        <w:t>. The Company and the Subsidiaries possess all certificates, authorizations and permits issued by the appropriate federal, state, local or foreign regulatory authorities necessary to conduct their respective businesses as described in the SEC Reports, except where the failure to possess such permits could not reasonably be expected to result in a Material Adverse Effect (“</w:t>
      </w:r>
      <w:r>
        <w:rPr>
          <w:rFonts w:ascii="Times New Roman;Times;Serif" w:hAnsi="Times New Roman;Times;Serif"/>
          <w:b w:val="false"/>
          <w:i w:val="false"/>
          <w:caps w:val="false"/>
          <w:smallCaps w:val="false"/>
          <w:sz w:val="20"/>
          <w:u w:val="single"/>
        </w:rPr>
        <w:t>Material Permits</w:t>
      </w:r>
      <w:r>
        <w:rPr>
          <w:rFonts w:ascii="Times New Roman;Times;Serif" w:hAnsi="Times New Roman;Times;Serif"/>
          <w:b w:val="false"/>
          <w:i w:val="false"/>
          <w:caps w:val="false"/>
          <w:smallCaps w:val="false"/>
          <w:sz w:val="20"/>
        </w:rPr>
        <w:t>”), and neither the Company nor any Subsidiary has received any notice of proceedings relating to the revocation or modification of any Material Permit.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w:t>
      </w:r>
      <w:r>
        <w:rPr>
          <w:rFonts w:ascii="Times New Roman;Times;Serif" w:hAnsi="Times New Roman;Times;Serif"/>
          <w:b w:val="false"/>
          <w:i w:val="false"/>
          <w:caps w:val="false"/>
          <w:smallCaps w:val="false"/>
          <w:sz w:val="20"/>
          <w:u w:val="single"/>
        </w:rPr>
        <w:t>Title to Assets</w:t>
      </w:r>
      <w:r>
        <w:rPr>
          <w:rFonts w:ascii="Times New Roman;Times;Serif" w:hAnsi="Times New Roman;Times;Serif"/>
          <w:b w:val="false"/>
          <w:i w:val="false"/>
          <w:caps w:val="false"/>
          <w:smallCaps w:val="false"/>
          <w:sz w:val="20"/>
        </w:rPr>
        <w:t>. The Company and the Subsidiaries have good and marketable title in fee simple to all real property owned by them and good and marketable title in all personal property owned by them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therefor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w:t>
      </w:r>
      <w:r>
        <w:rPr>
          <w:rFonts w:ascii="Times New Roman;Times;Serif" w:hAnsi="Times New Roman;Times;Serif"/>
          <w:b w:val="false"/>
          <w:i w:val="false"/>
          <w:caps w:val="false"/>
          <w:smallCaps w:val="false"/>
          <w:sz w:val="20"/>
          <w:u w:val="single"/>
        </w:rPr>
        <w:t>Intellectual Property</w:t>
      </w:r>
      <w:r>
        <w:rPr>
          <w:rFonts w:ascii="Times New Roman;Times;Serif" w:hAnsi="Times New Roman;Times;Serif"/>
          <w:b w:val="false"/>
          <w:i w:val="false"/>
          <w:caps w:val="false"/>
          <w:smallCaps w:val="false"/>
          <w:sz w:val="20"/>
        </w:rPr>
        <w:t>. The Company and its Subsidiaries exclusively own (free and clear of all liens, encumbrances and defects) or possess a valid license or other lawful right to use all Intellectual Property Rights necessary, used or held for use to conduct its business as presently conducted and as presently proposed to be conducted. Each of the registrations or applications for registration of Intellectual Property Rights (including issued patents and applications for patent) owned or licensed to the Company and its Subsidiaries is listed on Schedule 3.1(p)(i), and each item of such Intellectual Property Rights is valid and enforceable. Each of the licenses (in-bound or out-bound) of Intellectual Property Rights or other contracts (including settlement agreements) with respect to the use, ownership or enforcement of Intellectual Property Rights to which any of the Company and its Subsidiaries is a party is listed on Schedule 3.1(p)(ii), each such contract is valid and enforceable, and none of the Company or its Subsidiaries and, to the knowledge of the Company and its Subsidiaries, none of the counterparties to any such contract, is in default or breach thereunder or thereof. Except as set forth in Schedule 3.1(p)(iii), none of the Intellectual Property Rights set forth (or required to be set forth) on Schedule 3.1(p)(i) has expired or terminated, has been abandoned or canceled, or adjudged invalid or unenforceable or are scheduled or expected to expire or terminate or are scheduled or expected to be abandoned or canceled, or adjudged invalid or unenforceable, within three (3) calendar months from the date of this Agreement. The conduct of the business of the Company and its Subsidiaries does not infringe, misappropriate or otherwise violate or conflict with the Intellectual Property Rights of others, and in the past six (6) years, no claim, action or proceeding (including in the U.S. Patent and Trademark Office, or any corresponding non-U.S. authority, or before any other governmental authority) has been made or brought alleging the foregoing. There is no claim, action or proceeding that has been made or brought in the past six (6) years by or against, being threatened by or, to the knowledge of the Company and its Subsidiaries, being threatened against, the Company and its Subsidiaries regarding Intellectual Property Rights, including any challenging the validity, enforceability, ownership, enforcement, patentability or registrability of any Intellectual Property Rights. To the knowledge of the Company and its Subsidiaries, no third party is infringing, misappropriating or otherwise conflicting with its Intellectual Property Rights. None of the Company or its Subsidiaries are aware of any facts or circumstances which might give rise to any of the foregoing infringements, misappropriations or other conflicts, or claims, actions or proceedings. Each of the Company and its Subsidiaries has taken reasonable measures to protect the secrecy, confidentiality and value of all of its Intellectual Property Rights, as applicable, and, to its knowledge, no unauthorized disclosure of any information comprising any Intellectual Property Rights has occurred. All present and former employees, consultants and independent contractors of each of the Company and its Subsidiaries that have been involved in the development of any Intellectual Property Rights used in the business of the Company and its Subsidiaries have entered into written agreements under which such Persons (A) agree to protect the trade secrets, know-how and other confidential information of the Company and its Subsidiaries, as applicable, and (B) assign to one of the Company or its Subsidiaries, as applicable, all right, title and interest in and to all Intellectual Property Rights created by such Person in the course of his, her or its employment or other engagement by the Company or any of its Subsidiaries. Except as set forth on Schedule 3.1(p)(iv), no United States federal or state agency or any other government or governmental agency, university, research institute or other similar organization has sponsored any research by the Company and its Subsidiaries or been involved with or otherwise sponsored any development of any Intellectual Property Rights owned or purported to be owned by or exclusively licensed to the Company or its Subsidiaries. For purposes of this Agreement, “</w:t>
      </w:r>
      <w:r>
        <w:rPr>
          <w:rFonts w:ascii="Times New Roman;Times;Serif" w:hAnsi="Times New Roman;Times;Serif"/>
          <w:b w:val="false"/>
          <w:i w:val="false"/>
          <w:caps w:val="false"/>
          <w:smallCaps w:val="false"/>
          <w:sz w:val="20"/>
          <w:u w:val="single"/>
        </w:rPr>
        <w:t>Intellectual Property Rights</w:t>
      </w:r>
      <w:r>
        <w:rPr>
          <w:rFonts w:ascii="Times New Roman;Times;Serif" w:hAnsi="Times New Roman;Times;Serif"/>
          <w:b w:val="false"/>
          <w:i w:val="false"/>
          <w:caps w:val="false"/>
          <w:smallCaps w:val="false"/>
          <w:sz w:val="20"/>
        </w:rPr>
        <w:t>” means all intellectual property and proprietary rights, including all (i) trademarks, trade names, service marks, service names, domain names, and other designation of origin, together with all goodwill associated therewith, (ii) original works of authorship and copyrights, (iii) patents and patent applications, together with all divisionals, continuations, continuations-in-part, reissues and reexaminations thereof, including all rights to file applications for patent, (iv) trade secrets, know-how and other confidential information, (v) software, including data, databases and documentation therefor, and (vi) inventions, licenses, approvals and governmental authorizations.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w:t>
      </w:r>
      <w:r>
        <w:rPr>
          <w:rFonts w:ascii="Times New Roman;Times;Serif" w:hAnsi="Times New Roman;Times;Serif"/>
          <w:b w:val="false"/>
          <w:i w:val="false"/>
          <w:caps w:val="false"/>
          <w:smallCaps w:val="false"/>
          <w:sz w:val="20"/>
          <w:u w:val="single"/>
        </w:rPr>
        <w:t>Insurance</w:t>
      </w:r>
      <w:r>
        <w:rPr>
          <w:rFonts w:ascii="Times New Roman;Times;Serif" w:hAnsi="Times New Roman;Times;Serif"/>
          <w:b w:val="false"/>
          <w:i w:val="false"/>
          <w:caps w:val="false"/>
          <w:smallCaps w:val="false"/>
          <w:sz w:val="20"/>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at least equal to the aggregate Subscription Amount.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w:t>
      </w:r>
      <w:r>
        <w:rPr>
          <w:rFonts w:ascii="Times New Roman;Times;Serif" w:hAnsi="Times New Roman;Times;Serif"/>
          <w:b w:val="false"/>
          <w:i w:val="false"/>
          <w:caps w:val="false"/>
          <w:smallCaps w:val="false"/>
          <w:sz w:val="20"/>
          <w:u w:val="single"/>
        </w:rPr>
        <w:t>Transactions with Affiliates and Employees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3.1(r)</w:t>
      </w:r>
      <w:r>
        <w:rPr>
          <w:rFonts w:ascii="Times New Roman;Times;Serif" w:hAnsi="Times New Roman;Times;Serif"/>
          <w:b w:val="false"/>
          <w:i w:val="false"/>
          <w:caps w:val="false"/>
          <w:smallCaps w:val="false"/>
          <w:sz w:val="20"/>
        </w:rPr>
        <w:t>,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t>
      </w:r>
      <w:r>
        <w:rPr>
          <w:rFonts w:ascii="Times New Roman;Times;Serif" w:hAnsi="Times New Roman;Times;Serif"/>
          <w:b w:val="false"/>
          <w:i w:val="false"/>
          <w:caps w:val="false"/>
          <w:smallCaps w:val="false"/>
          <w:sz w:val="20"/>
          <w:u w:val="single"/>
        </w:rPr>
        <w:t>Sarbanes-Oxley; Internal Accounting Controls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3.1(s), t</w:t>
      </w:r>
      <w:r>
        <w:rPr>
          <w:rFonts w:ascii="Times New Roman;Times;Serif" w:hAnsi="Times New Roman;Times;Serif"/>
          <w:b w:val="false"/>
          <w:i w:val="false"/>
          <w:caps w:val="false"/>
          <w:smallCaps w:val="false"/>
          <w:sz w:val="20"/>
        </w:rPr>
        <w:t>he Company and the Subsidiaries are in compliance with any and all applicable requirements of the Sarbanes-Oxley Act of 2002, as amended, that are effective as of the date hereof, and any and all applicable rules and regulations promulgated by the Commission thereunder that are effective as of the date hereof and as of the Closing Date. The Company and the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it files or submits under the Exchange Act is recorded, processed, summarized and reported, within the time periods specified in the Commission’s rules and forms. The Company’s certifying officers have evaluated the effectiveness of the disclosure controls and procedures of the Company and the Subsidiaries as of the end of the period covered by the most recently filed periodic report under the Exchange Act (such date, the “</w:t>
      </w:r>
      <w:r>
        <w:rPr>
          <w:rFonts w:ascii="Times New Roman;Times;Serif" w:hAnsi="Times New Roman;Times;Serif"/>
          <w:b w:val="false"/>
          <w:i w:val="false"/>
          <w:caps w:val="false"/>
          <w:smallCaps w:val="false"/>
          <w:sz w:val="20"/>
          <w:u w:val="single"/>
        </w:rPr>
        <w:t>Evaluation Date</w:t>
      </w:r>
      <w:r>
        <w:rPr>
          <w:rFonts w:ascii="Times New Roman;Times;Serif" w:hAnsi="Times New Roman;Times;Serif"/>
          <w:b w:val="false"/>
          <w:i w:val="false"/>
          <w:caps w:val="false"/>
          <w:smallCaps w:val="false"/>
          <w:sz w:val="20"/>
        </w:rPr>
        <w:t>”). The Company presented in its most recently filed periodic report under the Exchange Act the conclusions of the certifying officers about the effectiveness of the disclosure controls and procedures based on their evaluations as of the Evaluation Date. Since the Evaluation Date, there have been no changes in the internal control over financial reporting (as such term is defined in the Exchange Act) that have materially affected, or is reasonably likely to materially affect, the internal control over financial reporting of the Company and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w:t>
      </w:r>
      <w:r>
        <w:rPr>
          <w:rFonts w:ascii="Times New Roman;Times;Serif" w:hAnsi="Times New Roman;Times;Serif"/>
          <w:b w:val="false"/>
          <w:i w:val="false"/>
          <w:caps w:val="false"/>
          <w:smallCaps w:val="false"/>
          <w:sz w:val="20"/>
          <w:u w:val="single"/>
        </w:rPr>
        <w:t>Certain Fees</w:t>
      </w:r>
      <w:r>
        <w:rPr>
          <w:rFonts w:ascii="Times New Roman;Times;Serif" w:hAnsi="Times New Roman;Times;Serif"/>
          <w:b w:val="false"/>
          <w:i w:val="false"/>
          <w:caps w:val="false"/>
          <w:smallCaps w:val="false"/>
          <w:sz w:val="20"/>
        </w:rPr>
        <w:t>. No brokerage or finder’s fees or commissions are or will be payable by the Company or any Subsidiaries to any broker, financial advisor or consultant, finder, placement agent, investment banker, bank or other Person with respect to the transactions contemplated by the Transaction Documents. The Purchasers shall have no obligation with respect to any fees or with respect to any claims made by or on behalf of other Persons for fees of a type contemplated in this Section that may be due in connection with the transactions contemplated by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16</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w:t>
      </w:r>
      <w:r>
        <w:rPr>
          <w:rFonts w:ascii="Times New Roman;Times;Serif" w:hAnsi="Times New Roman;Times;Serif"/>
          <w:b w:val="false"/>
          <w:i w:val="false"/>
          <w:caps w:val="false"/>
          <w:smallCaps w:val="false"/>
          <w:sz w:val="20"/>
          <w:u w:val="single"/>
        </w:rPr>
        <w:t>Private Placement</w:t>
      </w:r>
      <w:r>
        <w:rPr>
          <w:rFonts w:ascii="Times New Roman;Times;Serif" w:hAnsi="Times New Roman;Times;Serif"/>
          <w:b w:val="false"/>
          <w:i w:val="false"/>
          <w:caps w:val="false"/>
          <w:smallCaps w:val="false"/>
          <w:sz w:val="20"/>
        </w:rPr>
        <w:t>. Assuming the accuracy of the Purchasers’ representations and warranties set forth in Section 3.2, no registration under the Securities Act is required for the offer and sale of the Instruments by the Company to the Purchasers as contemplated hereby. The issuance and sale of the Instruments hereunder does not contravene the rules and regulations of the Trading Market.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Investment Company</w:t>
      </w:r>
      <w:r>
        <w:rPr>
          <w:rFonts w:ascii="Times New Roman;Times;Serif" w:hAnsi="Times New Roman;Times;Serif"/>
          <w:b w:val="false"/>
          <w:i w:val="false"/>
          <w:caps w:val="false"/>
          <w:smallCaps w:val="false"/>
          <w:sz w:val="20"/>
        </w:rPr>
        <w:t>. The Company is not, and is not an Affiliate of, and immediately after receipt of payment for the Instruments,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 xml:space="preserve">. Other than each of the Purchasers, except as set forth on </w:t>
      </w:r>
      <w:r>
        <w:rPr>
          <w:rFonts w:ascii="Times New Roman;Times;Serif" w:hAnsi="Times New Roman;Times;Serif"/>
          <w:b w:val="false"/>
          <w:i w:val="false"/>
          <w:caps w:val="false"/>
          <w:smallCaps w:val="false"/>
          <w:sz w:val="20"/>
          <w:u w:val="single"/>
        </w:rPr>
        <w:t>Schedule 3.1(w)</w:t>
      </w:r>
      <w:r>
        <w:rPr>
          <w:rFonts w:ascii="Times New Roman;Times;Serif" w:hAnsi="Times New Roman;Times;Serif"/>
          <w:b w:val="false"/>
          <w:i w:val="false"/>
          <w:caps w:val="false"/>
          <w:smallCaps w:val="false"/>
          <w:sz w:val="20"/>
        </w:rPr>
        <w:t>, no Person has any right to cause the Company or any Subsidiary to effect the registration under the Securities Act of any securities of the Company or any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w:t>
      </w:r>
      <w:r>
        <w:rPr>
          <w:rFonts w:ascii="Times New Roman;Times;Serif" w:hAnsi="Times New Roman;Times;Serif"/>
          <w:b w:val="false"/>
          <w:i w:val="false"/>
          <w:caps w:val="false"/>
          <w:smallCaps w:val="false"/>
          <w:sz w:val="20"/>
          <w:u w:val="single"/>
        </w:rPr>
        <w:t>Listing and Maintenance Requirements</w:t>
      </w:r>
      <w:r>
        <w:rPr>
          <w:rFonts w:ascii="Times New Roman;Times;Serif" w:hAnsi="Times New Roman;Times;Serif"/>
          <w:b w:val="false"/>
          <w:i w:val="false"/>
          <w:caps w:val="false"/>
          <w:smallCaps w:val="false"/>
          <w:sz w:val="20"/>
        </w:rPr>
        <w:t>. The Common Stock is registered pursuant to Section 12(b) or 12(g)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not, in the 12 months preceding the date hereof, received notice from any Trading Market on which the Common Stock is or has been listed or quoted to the effect that the Company is not in compliance with the listing or maintenance requirements of such Trading Market. The Company is, and has no reason to believe that it will not in the foreseeable future continue to be, in compliance with all such listing and maintenance requirements. The Common Stock is currently eligible for electronic transfer through the Depository Trust Company or another established clearing corporation and the Company is current in payment of the fees to the Depository Trust Company (or such other established clearing corporation) in connection with such electronic transfer.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w:t>
      </w:r>
      <w:r>
        <w:rPr>
          <w:rFonts w:ascii="Times New Roman;Times;Serif" w:hAnsi="Times New Roman;Times;Serif"/>
          <w:b w:val="false"/>
          <w:i w:val="false"/>
          <w:caps w:val="false"/>
          <w:smallCaps w:val="false"/>
          <w:sz w:val="20"/>
          <w:u w:val="single"/>
        </w:rPr>
        <w:t>Application of Takeover Protections</w:t>
      </w:r>
      <w:r>
        <w:rPr>
          <w:rFonts w:ascii="Times New Roman;Times;Serif" w:hAnsi="Times New Roman;Times;Serif"/>
          <w:b w:val="false"/>
          <w:i w:val="false"/>
          <w:caps w:val="false"/>
          <w:smallCaps w:val="false"/>
          <w:sz w:val="20"/>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to the Purchasers as a result of the Purchasers and the Company fulfilling their obligations or exercising their rights under the Transaction Documents, including without limitation as a result of the Company’s issuance of the Instruments and the Purchasers’ ownership of the Instruments.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w:t>
      </w:r>
      <w:r>
        <w:rPr>
          <w:rFonts w:ascii="Times New Roman;Times;Serif" w:hAnsi="Times New Roman;Times;Serif"/>
          <w:b w:val="false"/>
          <w:i w:val="false"/>
          <w:caps w:val="false"/>
          <w:smallCaps w:val="false"/>
          <w:sz w:val="20"/>
          <w:u w:val="single"/>
        </w:rPr>
        <w:t>Disclosure</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the Company confirms that neither it nor any other Person acting on its behalf has provided any of the Purchasers or their agents or counsel with any information that it believes constitutes or might constitute material, non-public information. The Company understands and confirms that the Purchasers will rely on the foregoing representation in effecting transactions in securities of the Company. All of the disclosure furnished by or on behalf of the Company to the Purchasers regarding the Company and its Subsidiaries, their respective businesses and the transactions contemplated hereby, including the Disclosure Schedules to this Agreement, is true and correct and does not contain any untrue statement of a material fact or omit to state any material fact necessary in order to make the statements made therein, in the light of the circumstances under which they were made and when made, not misleading.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the light of the circumstances under which they were made and when made, not misleading. The Company acknowledges and agrees that no Purchaser makes or has made any representations or warranties with respect to the transactions contemplated hereby other than those specifically set forth in Section 3.2 hereof.</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17</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(aa) </w:t>
      </w:r>
      <w:r>
        <w:rPr>
          <w:rFonts w:ascii="Times New Roman;Times;Serif" w:hAnsi="Times New Roman;Times;Serif"/>
          <w:b w:val="false"/>
          <w:i w:val="false"/>
          <w:caps w:val="false"/>
          <w:smallCaps w:val="false"/>
          <w:sz w:val="20"/>
          <w:u w:val="single"/>
        </w:rPr>
        <w:t>No Integrated Offering</w:t>
      </w:r>
      <w:r>
        <w:rPr>
          <w:rFonts w:ascii="Times New Roman;Times;Serif" w:hAnsi="Times New Roman;Times;Serif"/>
          <w:b w:val="false"/>
          <w:i w:val="false"/>
          <w:caps w:val="false"/>
          <w:smallCaps w:val="false"/>
          <w:sz w:val="20"/>
        </w:rPr>
        <w:t>. Assuming the accuracy of the Purchasers’ representations and warranties set forth in Section 3.2, neither the Company, nor any of its Affiliates, nor any Person acting on its or their behalf has, directly or indirectly, made any offers or sales of any security or solicited any offers to buy any security, under circumstances that would cause this offering of the Instruments to be integrated with prior offerings by the Company for purposes of (i) the Securities Act which would require the registration of any such securities under the Securities Act, or (ii) any applicable shareholder approval provisions of any Trading Market on which any of the securities of the Company are listed or designated.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(bb) </w:t>
      </w:r>
      <w:r>
        <w:rPr>
          <w:rFonts w:ascii="Times New Roman;Times;Serif" w:hAnsi="Times New Roman;Times;Serif"/>
          <w:b w:val="false"/>
          <w:i w:val="false"/>
          <w:caps w:val="false"/>
          <w:smallCaps w:val="false"/>
          <w:sz w:val="20"/>
          <w:u w:val="single"/>
        </w:rPr>
        <w:t>Solvency</w:t>
      </w:r>
      <w:r>
        <w:rPr>
          <w:rFonts w:ascii="Times New Roman;Times;Serif" w:hAnsi="Times New Roman;Times;Serif"/>
          <w:b w:val="false"/>
          <w:i w:val="false"/>
          <w:caps w:val="false"/>
          <w:smallCaps w:val="false"/>
          <w:sz w:val="20"/>
        </w:rPr>
        <w:t xml:space="preserve">. Based on the consolidated financial condition of the Company as of the Closing Date, after giving effect to the receipt by the Company of the proceeds from the sale of the Instruments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year from the Closing Date. </w:t>
      </w:r>
      <w:r>
        <w:rPr>
          <w:rFonts w:ascii="Times New Roman;Times;Serif" w:hAnsi="Times New Roman;Times;Serif"/>
          <w:b w:val="false"/>
          <w:i w:val="false"/>
          <w:caps w:val="false"/>
          <w:smallCaps w:val="false"/>
          <w:sz w:val="20"/>
          <w:u w:val="single"/>
        </w:rPr>
        <w:t>Schedule 3.1(bb)</w:t>
      </w:r>
      <w:r>
        <w:rPr>
          <w:rFonts w:ascii="Times New Roman;Times;Serif" w:hAnsi="Times New Roman;Times;Serif"/>
          <w:b w:val="false"/>
          <w:i w:val="false"/>
          <w:caps w:val="false"/>
          <w:smallCaps w:val="false"/>
          <w:sz w:val="20"/>
        </w:rPr>
        <w:t xml:space="preserve"> sets forth as of the date hereof all outstanding secured and unsecured Indebtedness of the Company or any Subsidiary, or for which the Company or any Subsidiary has commitments.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(cc) </w:t>
      </w:r>
      <w:r>
        <w:rPr>
          <w:rFonts w:ascii="Times New Roman;Times;Serif" w:hAnsi="Times New Roman;Times;Serif"/>
          <w:b w:val="false"/>
          <w:i w:val="false"/>
          <w:caps w:val="false"/>
          <w:smallCaps w:val="false"/>
          <w:sz w:val="20"/>
          <w:u w:val="single"/>
        </w:rPr>
        <w:t>Tax Status</w:t>
      </w:r>
      <w:r>
        <w:rPr>
          <w:rFonts w:ascii="Times New Roman;Times;Serif" w:hAnsi="Times New Roman;Times;Serif"/>
          <w:b w:val="false"/>
          <w:i w:val="false"/>
          <w:caps w:val="false"/>
          <w:smallCaps w:val="false"/>
          <w:sz w:val="20"/>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(dd) </w:t>
      </w:r>
      <w:r>
        <w:rPr>
          <w:rFonts w:ascii="Times New Roman;Times;Serif" w:hAnsi="Times New Roman;Times;Serif"/>
          <w:b w:val="false"/>
          <w:i w:val="false"/>
          <w:caps w:val="false"/>
          <w:smallCaps w:val="false"/>
          <w:sz w:val="20"/>
          <w:u w:val="single"/>
        </w:rPr>
        <w:t>No General Solicitation</w:t>
      </w:r>
      <w:r>
        <w:rPr>
          <w:rFonts w:ascii="Times New Roman;Times;Serif" w:hAnsi="Times New Roman;Times;Serif"/>
          <w:b w:val="false"/>
          <w:i w:val="false"/>
          <w:caps w:val="false"/>
          <w:smallCaps w:val="false"/>
          <w:sz w:val="20"/>
        </w:rPr>
        <w:t>. Neither the Company nor any Person acting on behalf of the Company has offered or sold any of the Instruments by any form of general solicitation or general advertising. The Company has offered the Instruments for sale only to the Purchasers and certain other “accredited investors” within the meaning of Rule 501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18</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(ee) </w:t>
      </w:r>
      <w:r>
        <w:rPr>
          <w:rFonts w:ascii="Times New Roman;Times;Serif" w:hAnsi="Times New Roman;Times;Serif"/>
          <w:b w:val="false"/>
          <w:i w:val="false"/>
          <w:caps w:val="false"/>
          <w:smallCaps w:val="false"/>
          <w:sz w:val="20"/>
          <w:u w:val="single"/>
        </w:rPr>
        <w:t>Foreign Corrupt Practices</w:t>
      </w:r>
      <w:r>
        <w:rPr>
          <w:rFonts w:ascii="Times New Roman;Times;Serif" w:hAnsi="Times New Roman;Times;Serif"/>
          <w:b w:val="false"/>
          <w:i w:val="false"/>
          <w:caps w:val="false"/>
          <w:smallCaps w:val="false"/>
          <w:sz w:val="20"/>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(ff) </w:t>
      </w:r>
      <w:r>
        <w:rPr>
          <w:rFonts w:ascii="Times New Roman;Times;Serif" w:hAnsi="Times New Roman;Times;Serif"/>
          <w:b w:val="false"/>
          <w:i w:val="false"/>
          <w:caps w:val="false"/>
          <w:smallCaps w:val="false"/>
          <w:sz w:val="20"/>
          <w:u w:val="single"/>
        </w:rPr>
        <w:t>Accountants</w:t>
      </w:r>
      <w:r>
        <w:rPr>
          <w:rFonts w:ascii="Times New Roman;Times;Serif" w:hAnsi="Times New Roman;Times;Serif"/>
          <w:b w:val="false"/>
          <w:i w:val="false"/>
          <w:caps w:val="false"/>
          <w:smallCaps w:val="false"/>
          <w:sz w:val="20"/>
        </w:rPr>
        <w:t xml:space="preserve">. The Company’s accounting firm is set forth on </w:t>
      </w:r>
      <w:r>
        <w:rPr>
          <w:rFonts w:ascii="Times New Roman;Times;Serif" w:hAnsi="Times New Roman;Times;Serif"/>
          <w:b w:val="false"/>
          <w:i w:val="false"/>
          <w:caps w:val="false"/>
          <w:smallCaps w:val="false"/>
          <w:sz w:val="20"/>
          <w:u w:val="single"/>
        </w:rPr>
        <w:t>Schedule 3.1(ff)</w:t>
      </w:r>
      <w:r>
        <w:rPr>
          <w:rFonts w:ascii="Times New Roman;Times;Serif" w:hAnsi="Times New Roman;Times;Serif"/>
          <w:b w:val="false"/>
          <w:i w:val="false"/>
          <w:caps w:val="false"/>
          <w:smallCaps w:val="false"/>
          <w:sz w:val="20"/>
        </w:rPr>
        <w:t xml:space="preserve"> of the Disclosure Schedules. To the knowledge and belief of the Company, such accounting firm (i) is a registered public accounting firm as required by the Exchange Act and (ii) shall express its opinion with respect to the financial statements to be included in the Company’s Annual Report for the fiscal year ending December 31, 2026.</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(gg) </w:t>
      </w:r>
      <w:r>
        <w:rPr>
          <w:rFonts w:ascii="Times New Roman;Times;Serif" w:hAnsi="Times New Roman;Times;Serif"/>
          <w:b w:val="false"/>
          <w:i w:val="false"/>
          <w:caps w:val="false"/>
          <w:smallCaps w:val="false"/>
          <w:sz w:val="20"/>
          <w:u w:val="single"/>
        </w:rPr>
        <w:t>Seniority</w:t>
      </w:r>
      <w:r>
        <w:rPr>
          <w:rFonts w:ascii="Times New Roman;Times;Serif" w:hAnsi="Times New Roman;Times;Serif"/>
          <w:b w:val="false"/>
          <w:i w:val="false"/>
          <w:caps w:val="false"/>
          <w:smallCaps w:val="false"/>
          <w:sz w:val="20"/>
        </w:rPr>
        <w:t>. As of the Closing Date, no Indebtedness or other claim against the Company is senior to the Notes in right of payment or security, whether with respect to interest or upon liquidation or dissolution, or otherwise, other than indebtedness secured by purchase money security interests (which is senior only as to underlying assets covered thereby) and capital lease obligations (which is senior only as to the property covered thereby).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(hh) </w:t>
      </w:r>
      <w:r>
        <w:rPr>
          <w:rFonts w:ascii="Times New Roman;Times;Serif" w:hAnsi="Times New Roman;Times;Serif"/>
          <w:b w:val="false"/>
          <w:i w:val="false"/>
          <w:caps w:val="false"/>
          <w:smallCaps w:val="false"/>
          <w:sz w:val="20"/>
          <w:u w:val="single"/>
        </w:rPr>
        <w:t>No Disagreements with Accountants and Lawyers</w:t>
      </w:r>
      <w:r>
        <w:rPr>
          <w:rFonts w:ascii="Times New Roman;Times;Serif" w:hAnsi="Times New Roman;Times;Serif"/>
          <w:b w:val="false"/>
          <w:i w:val="false"/>
          <w:caps w:val="false"/>
          <w:smallCaps w:val="false"/>
          <w:sz w:val="20"/>
        </w:rPr>
        <w:t>. There are no disagreements of any kind presently existing, or reasonably anticipated by the Company to arise, between the Company and the accountants and lawyers formerly or presently employed by the Company and the Company is current with respect to any fees owed to its accountants and lawyers which could affect the Company’s ability to perform any of its obligations under any of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Acknowledgment Regarding Purchasers’ Purchase of Instruments</w:t>
      </w:r>
      <w:r>
        <w:rPr>
          <w:rFonts w:ascii="Times New Roman;Times;Serif" w:hAnsi="Times New Roman;Times;Serif"/>
          <w:b w:val="false"/>
          <w:i w:val="false"/>
          <w:caps w:val="false"/>
          <w:smallCaps w:val="false"/>
          <w:sz w:val="20"/>
        </w:rPr>
        <w:t>. The Company acknowledges and agrees that each of the Purchasers is acting solely in the capacity of an arm’s length purchaser with respect to the Transaction Documents and the transactions contemplated thereby. The Company further acknowledges that no Purchaser is acting as a financial advisor or fiduciary of the Company (or in any similar capacity) with respect to the Transaction Documents and the transactions contemplated thereby and any advice given by any Purchaser or any of their respective representatives or agents in connection with the Transaction Documents and the transactions contemplated thereby is merely incidental to the Purchasers’ purchase of the Instruments. The Company further represents to each Purchaser that the Company’s decision to enter into this Agreement and the other Transaction Documents has been based solely on the independent evaluation of the transactions contemplated hereby by the Company and its representatives.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19</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(jj) </w:t>
      </w:r>
      <w:r>
        <w:rPr>
          <w:rFonts w:ascii="Times New Roman;Times;Serif" w:hAnsi="Times New Roman;Times;Serif"/>
          <w:b w:val="false"/>
          <w:i w:val="false"/>
          <w:caps w:val="false"/>
          <w:smallCaps w:val="false"/>
          <w:sz w:val="20"/>
          <w:u w:val="single"/>
        </w:rPr>
        <w:t>Acknowledgment Regarding Purchaser’s Trading Activity</w:t>
      </w:r>
      <w:r>
        <w:rPr>
          <w:rFonts w:ascii="Times New Roman;Times;Serif" w:hAnsi="Times New Roman;Times;Serif"/>
          <w:b w:val="false"/>
          <w:i w:val="false"/>
          <w:caps w:val="false"/>
          <w:smallCaps w:val="false"/>
          <w:sz w:val="20"/>
        </w:rPr>
        <w:t>. Anything in this Agreement or elsewhere herein to the contrary notwithstanding (except for Sections 3.2(g) and 4.14 hereof), it is understood and acknowledged by the Company that: (i) none of the Purchasers has been asked by the Company to agree, nor has any Purchaser agreed, to desist from purchasing or selling, long and/or short, securities of the Company, or “derivative” securities based on securities issued by the Company or to hold the Instruments for any specified term, (ii) past or future open market or other transactions by any Purchaser, specifically including, without limitation, Short Sales or “derivative” transactions, before or after the closing of this or future private placement transactions, may negatively impact the market price of the Company’s publicly-traded securities, (iii) any Purchaser, and counter-parties in “derivative” transactions to which any such Purchaser is a party, directly or indirectly, may presently have a “short” position in the Common Stock and (iv) each Purchaser shall not be deemed to have any affiliation with or control over any arm’s length counter-party in any “derivative” transaction. The Company further understands and acknowledges that (y) one or more Purchasers may engage in hedging activities at various times during the period that the Instruments are outstanding, including, without limitation, during the periods that the value of the Underlying Shares deliverable with respect to Instruments are being determined, and (z) such hedging activities (if any) could reduce the value of the existing stockholders’ equity interests in the Company at and after the time that the hedging activities are being conducted. The Company acknowledges that such aforementioned hedging activities do not constitute a breach of any of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(kk) </w:t>
      </w:r>
      <w:r>
        <w:rPr>
          <w:rFonts w:ascii="Times New Roman;Times;Serif" w:hAnsi="Times New Roman;Times;Serif"/>
          <w:b w:val="false"/>
          <w:i w:val="false"/>
          <w:caps w:val="false"/>
          <w:smallCaps w:val="false"/>
          <w:sz w:val="20"/>
          <w:u w:val="single"/>
        </w:rPr>
        <w:t>Regulation M Compliance</w:t>
      </w:r>
      <w:r>
        <w:rPr>
          <w:rFonts w:ascii="Times New Roman;Times;Serif" w:hAnsi="Times New Roman;Times;Serif"/>
          <w:b w:val="false"/>
          <w:i w:val="false"/>
          <w:caps w:val="false"/>
          <w:smallCaps w:val="false"/>
          <w:sz w:val="20"/>
        </w:rPr>
        <w:t>. The Company has not, and to its knowledge no one acting on its behalf has, (i) taken, directly or indirectly, any action designed to cause or to result in the stabilization or manipulation of the price of any security of the Company to facilitate the sale or resale of any of the Instruments, (ii) sold, bid for, purchased, or paid any compensation for soliciting purchases of, any of the Instruments, or (iii) paid or agreed to pay to any Person any compensation for soliciting another to purchase any other securities of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 </w:t>
      </w:r>
      <w:r>
        <w:rPr>
          <w:rFonts w:ascii="Times New Roman;Times;Serif" w:hAnsi="Times New Roman;Times;Serif"/>
          <w:b w:val="false"/>
          <w:i w:val="false"/>
          <w:caps w:val="false"/>
          <w:smallCaps w:val="false"/>
          <w:sz w:val="20"/>
          <w:u w:val="single"/>
        </w:rPr>
        <w:t>Stock Option Plans</w:t>
      </w:r>
      <w:r>
        <w:rPr>
          <w:rFonts w:ascii="Times New Roman;Times;Serif" w:hAnsi="Times New Roman;Times;Serif"/>
          <w:b w:val="false"/>
          <w:i w:val="false"/>
          <w:caps w:val="false"/>
          <w:smallCaps w:val="false"/>
          <w:sz w:val="20"/>
        </w:rPr>
        <w:t>. Each stock option granted by the Company under the Company’s stock option plan was granted (i) in accordance with the terms of the Company’s stock option plan and (ii) with an exercise price at least equal to the fair market value of the Common Stock on the date such stock option would be considered granted under GAAP and applicable law. No stock option granted under the Company’s stock option plan has been backdated. The Company has not knowingly granted, and there is no and has been no Company policy or practice to knowingly grant, stock options prior to, or otherwise knowingly coordinate the grant of stock options with, the release or other public announcement of material information regarding the Company or its Subsidiaries or their financial results or prospects.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(mm) </w:t>
      </w:r>
      <w:r>
        <w:rPr>
          <w:rFonts w:ascii="Times New Roman;Times;Serif" w:hAnsi="Times New Roman;Times;Serif"/>
          <w:b w:val="false"/>
          <w:i w:val="false"/>
          <w:caps w:val="false"/>
          <w:smallCaps w:val="false"/>
          <w:sz w:val="20"/>
          <w:u w:val="single"/>
        </w:rPr>
        <w:t>IT Systems; Data Privacy and Security</w:t>
      </w:r>
      <w:r>
        <w:rPr>
          <w:rFonts w:ascii="Times New Roman;Times;Serif" w:hAnsi="Times New Roman;Times;Serif"/>
          <w:b w:val="false"/>
          <w:i w:val="false"/>
          <w:caps w:val="false"/>
          <w:smallCaps w:val="false"/>
          <w:sz w:val="20"/>
        </w:rPr>
        <w:t>. The information technology and computer systems, including the software, firmware, hardware, equipment, networks, data communication lines, interfaces, databases, storage media, websites, platforms and related systems, owned, licensed or leased by the Company and its Subsidiaries (collectively, “</w:t>
      </w:r>
      <w:r>
        <w:rPr>
          <w:rFonts w:ascii="Times New Roman;Times;Serif" w:hAnsi="Times New Roman;Times;Serif"/>
          <w:b w:val="false"/>
          <w:i w:val="false"/>
          <w:caps w:val="false"/>
          <w:smallCaps w:val="false"/>
          <w:sz w:val="20"/>
          <w:u w:val="single"/>
        </w:rPr>
        <w:t>IT Systems</w:t>
      </w:r>
      <w:r>
        <w:rPr>
          <w:rFonts w:ascii="Times New Roman;Times;Serif" w:hAnsi="Times New Roman;Times;Serif"/>
          <w:b w:val="false"/>
          <w:i w:val="false"/>
          <w:caps w:val="false"/>
          <w:smallCaps w:val="false"/>
          <w:sz w:val="20"/>
        </w:rPr>
        <w:t>”) are sufficient in all material respects for the conduct of each of the business of the Company and its Subsidiaries, and to the knowledge of each of the Company and its Subsidiaries, do not contain any “viruses”, “worms”, “time-bombs”, “key-locks”, or any other devices intentionally designed to disrupt or interfere with the operation of any of the IT Systems; and during the last two (2) years, there have been no material failures, breakdowns, continued substandard performance or other adverse events affecting any of the IT Systems. Each of the Company and its Subsidiaries has and maintains commercially reasonable business continuity and disaster recovery plans, procedures and facilities appropriate for its business and has taken commercially reasonable steps to safeguard the integrity and security of IT Systems, including all data stored therein, and to the knowledge of each of the Company and its Subsidiaries, there has been no unauthorized access, or any intrusions or breaches, of any of the IT Systems, including any data stored therein, during the last two (2) years. Each of the Company and its Subsidiaries is, and during the last three (3) years has been, in compliance in all material respects with all Data Privacy and Security Laws applicable to it. Each of the Company and its Subsidiaries has maintained and posted, and complied with the terms of, all privacy notices pursuant to Data Privacy and Security Laws. Each of the Company and its Subsidiaries has commercially reasonable security measures in place designed to protect all Personal Data under its control or in its possession from unauthorized use, access, modification or destruction. During the last three (3) years, none of the Company nor its Subsidiaries has suffered any breach in security or other incident that has permitted any unauthorized access to the Personal Data under its control or possession. Each of the Company and its Subsidiaries maintains, and has remained in compliance, in all material respects, with, a comprehensive written information security program that includes commercially reasonable administrative, physical and technical measures intended to protect the confidentiality, integrity, availability and security of Personal Data in is possession or under its control and IT Systems against any unauthorized control, use, access, interruption, modification or corruption and to ensure the continued, uninterrupted and error-free operation of IT Systems. There are no material claims, actions or proceedings against or affecting any of the Company or its Subsidiaries pending, threatened in writing, relating to or arising under Data Privacy and Security Laws. None of the Company nor its Subsidiaries has received any written notices from the Department of Justice, U.S. Department of Education, Federal Trade Commission, or the Attorney General of any state, or any equivalent foreign governmental authority, relating to possible violations of Data Privacy and Security Laws. For purposes of this Agreement, (i) “</w:t>
      </w:r>
      <w:r>
        <w:rPr>
          <w:rFonts w:ascii="Times New Roman;Times;Serif" w:hAnsi="Times New Roman;Times;Serif"/>
          <w:b w:val="false"/>
          <w:i w:val="false"/>
          <w:caps w:val="false"/>
          <w:smallCaps w:val="false"/>
          <w:sz w:val="20"/>
          <w:u w:val="single"/>
        </w:rPr>
        <w:t>Data Privacy and Security Laws</w:t>
      </w:r>
      <w:r>
        <w:rPr>
          <w:rFonts w:ascii="Times New Roman;Times;Serif" w:hAnsi="Times New Roman;Times;Serif"/>
          <w:b w:val="false"/>
          <w:i w:val="false"/>
          <w:caps w:val="false"/>
          <w:smallCaps w:val="false"/>
          <w:sz w:val="20"/>
        </w:rPr>
        <w:t>” shall mean (a) all applicable laws relating to the Processing of Personal Data or otherwise relating to privacy, data protection, data security, cyber security, breach notification or data localization, and (b) all published policies of the Company and its Subsidiaries relating to the Processing of Personal Data or otherwise relating to privacy, data protection, data security, cyber security, breach notification or data localization; (ii) “</w:t>
      </w:r>
      <w:r>
        <w:rPr>
          <w:rFonts w:ascii="Times New Roman;Times;Serif" w:hAnsi="Times New Roman;Times;Serif"/>
          <w:b w:val="false"/>
          <w:i w:val="false"/>
          <w:caps w:val="false"/>
          <w:smallCaps w:val="false"/>
          <w:sz w:val="20"/>
          <w:u w:val="single"/>
        </w:rPr>
        <w:t>Processing</w:t>
      </w:r>
      <w:r>
        <w:rPr>
          <w:rFonts w:ascii="Times New Roman;Times;Serif" w:hAnsi="Times New Roman;Times;Serif"/>
          <w:b w:val="false"/>
          <w:i w:val="false"/>
          <w:caps w:val="false"/>
          <w:smallCaps w:val="false"/>
          <w:sz w:val="20"/>
        </w:rPr>
        <w:t>” shall mean the collection, use, storage, processing, recording, distribution, transfer, import, export, protection, disposal or disclosure or other activity regarding or operations performed on data or information (whether electronically or in any other form or medium); and (iii) “</w:t>
      </w:r>
      <w:r>
        <w:rPr>
          <w:rFonts w:ascii="Times New Roman;Times;Serif" w:hAnsi="Times New Roman;Times;Serif"/>
          <w:b w:val="false"/>
          <w:i w:val="false"/>
          <w:caps w:val="false"/>
          <w:smallCaps w:val="false"/>
          <w:sz w:val="20"/>
          <w:u w:val="single"/>
        </w:rPr>
        <w:t>Personal Data</w:t>
      </w:r>
      <w:r>
        <w:rPr>
          <w:rFonts w:ascii="Times New Roman;Times;Serif" w:hAnsi="Times New Roman;Times;Serif"/>
          <w:b w:val="false"/>
          <w:i w:val="false"/>
          <w:caps w:val="false"/>
          <w:smallCaps w:val="false"/>
          <w:sz w:val="20"/>
        </w:rPr>
        <w:t>” shall mean any information that, alone or in combination with other information held by the Company and its Subsidiaries, identifies or could reasonably be associated with an individual, including any individual’s name, street address, telephone number, e-mail address, photograph, social security number, driver’s license number, passport number, customer or account number, biometrics, IP address, geolocation data or persistent device identifier, or any other information that is otherwise considered personal information, personal data, protected health information by applicable Data Privacy and Security Laws.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(nn) </w:t>
      </w:r>
      <w:r>
        <w:rPr>
          <w:rFonts w:ascii="Times New Roman;Times;Serif" w:hAnsi="Times New Roman;Times;Serif"/>
          <w:b w:val="false"/>
          <w:i w:val="false"/>
          <w:caps w:val="false"/>
          <w:smallCaps w:val="false"/>
          <w:sz w:val="20"/>
          <w:u w:val="single"/>
        </w:rPr>
        <w:t>Office of Foreign Assets Control</w:t>
      </w:r>
      <w:r>
        <w:rPr>
          <w:rFonts w:ascii="Times New Roman;Times;Serif" w:hAnsi="Times New Roman;Times;Serif"/>
          <w:b w:val="false"/>
          <w:i w:val="false"/>
          <w:caps w:val="false"/>
          <w:smallCaps w:val="false"/>
          <w:sz w:val="20"/>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(oo) </w:t>
      </w:r>
      <w:r>
        <w:rPr>
          <w:rFonts w:ascii="Times New Roman;Times;Serif" w:hAnsi="Times New Roman;Times;Serif"/>
          <w:b w:val="false"/>
          <w:i w:val="false"/>
          <w:caps w:val="false"/>
          <w:smallCaps w:val="false"/>
          <w:sz w:val="20"/>
          <w:u w:val="single"/>
        </w:rPr>
        <w:t>U.S. Real Property Holding Corporation</w:t>
      </w:r>
      <w:r>
        <w:rPr>
          <w:rFonts w:ascii="Times New Roman;Times;Serif" w:hAnsi="Times New Roman;Times;Serif"/>
          <w:b w:val="false"/>
          <w:i w:val="false"/>
          <w:caps w:val="false"/>
          <w:smallCaps w:val="false"/>
          <w:sz w:val="20"/>
        </w:rPr>
        <w:t>. The Company is not and has never been a U.S. real property holding corporation within the meaning of Section 897 of the Internal Revenue Code of 1986, as amended, and the Company shall so certify upon Purchaser’s request.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(pp) </w:t>
      </w:r>
      <w:r>
        <w:rPr>
          <w:rFonts w:ascii="Times New Roman;Times;Serif" w:hAnsi="Times New Roman;Times;Serif"/>
          <w:b w:val="false"/>
          <w:i w:val="false"/>
          <w:caps w:val="false"/>
          <w:smallCaps w:val="false"/>
          <w:sz w:val="20"/>
          <w:u w:val="single"/>
        </w:rPr>
        <w:t>Bank Holding Company Act</w:t>
      </w:r>
      <w:r>
        <w:rPr>
          <w:rFonts w:ascii="Times New Roman;Times;Serif" w:hAnsi="Times New Roman;Times;Serif"/>
          <w:b w:val="false"/>
          <w:i w:val="false"/>
          <w:caps w:val="false"/>
          <w:smallCaps w:val="false"/>
          <w:sz w:val="20"/>
        </w:rPr>
        <w:t>. Neither the Company nor any of its Subsidiaries or Affiliates is subject to the Bank Holding Company Act of 1956, as amended (the “</w:t>
      </w:r>
      <w:r>
        <w:rPr>
          <w:rFonts w:ascii="Times New Roman;Times;Serif" w:hAnsi="Times New Roman;Times;Serif"/>
          <w:b w:val="false"/>
          <w:i w:val="false"/>
          <w:caps w:val="false"/>
          <w:smallCaps w:val="false"/>
          <w:sz w:val="20"/>
          <w:u w:val="single"/>
        </w:rPr>
        <w:t>BHCA</w:t>
      </w:r>
      <w:r>
        <w:rPr>
          <w:rFonts w:ascii="Times New Roman;Times;Serif" w:hAnsi="Times New Roman;Times;Serif"/>
          <w:b w:val="false"/>
          <w:i w:val="false"/>
          <w:caps w:val="false"/>
          <w:smallCaps w:val="false"/>
          <w:sz w:val="20"/>
        </w:rPr>
        <w:t>”) and to regulation by the Board of Governors of the Federal Reserve System (the “</w:t>
      </w:r>
      <w:r>
        <w:rPr>
          <w:rFonts w:ascii="Times New Roman;Times;Serif" w:hAnsi="Times New Roman;Times;Serif"/>
          <w:b w:val="false"/>
          <w:i w:val="false"/>
          <w:caps w:val="false"/>
          <w:smallCaps w:val="false"/>
          <w:sz w:val="20"/>
          <w:u w:val="single"/>
        </w:rPr>
        <w:t>Federal Reserve</w:t>
      </w:r>
      <w:r>
        <w:rPr>
          <w:rFonts w:ascii="Times New Roman;Times;Serif" w:hAnsi="Times New Roman;Times;Serif"/>
          <w:b w:val="false"/>
          <w:i w:val="false"/>
          <w:caps w:val="false"/>
          <w:smallCaps w:val="false"/>
          <w:sz w:val="20"/>
        </w:rPr>
        <w:t>”). Neither the Company nor any of its Subsidiaries or Affiliates owns or controls, directly or indirectly, five percent (5%) or more of the outstanding shares of any class of voting securities or twenty-five percent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(qq) </w:t>
      </w:r>
      <w:r>
        <w:rPr>
          <w:rFonts w:ascii="Times New Roman;Times;Serif" w:hAnsi="Times New Roman;Times;Serif"/>
          <w:b w:val="false"/>
          <w:i w:val="false"/>
          <w:caps w:val="false"/>
          <w:smallCaps w:val="false"/>
          <w:sz w:val="20"/>
          <w:u w:val="single"/>
        </w:rPr>
        <w:t>Money Laundering</w:t>
      </w:r>
      <w:r>
        <w:rPr>
          <w:rFonts w:ascii="Times New Roman;Times;Serif" w:hAnsi="Times New Roman;Times;Serif"/>
          <w:b w:val="false"/>
          <w:i w:val="false"/>
          <w:caps w:val="false"/>
          <w:smallCaps w:val="false"/>
          <w:sz w:val="20"/>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Times New Roman;Times;Serif" w:hAnsi="Times New Roman;Times;Serif"/>
          <w:b w:val="false"/>
          <w:i w:val="false"/>
          <w:caps w:val="false"/>
          <w:smallCaps w:val="false"/>
          <w:sz w:val="20"/>
          <w:u w:val="single"/>
        </w:rPr>
        <w:t>Money Laundering Laws</w:t>
      </w:r>
      <w:r>
        <w:rPr>
          <w:rFonts w:ascii="Times New Roman;Times;Serif" w:hAnsi="Times New Roman;Times;Serif"/>
          <w:b w:val="false"/>
          <w:i w:val="false"/>
          <w:caps w:val="false"/>
          <w:smallCaps w:val="false"/>
          <w:sz w:val="20"/>
        </w:rPr>
        <w:t>”), and no Action or Proceeding by or before any court or governmental agency, authority or body or any arbitrator involving the Company or any Subsidiary with respect to the Money Laundering Laws is pending or, to the knowledge of the Company or any Subsidiary, threatened.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(rr) </w:t>
      </w:r>
      <w:r>
        <w:rPr>
          <w:rFonts w:ascii="Times New Roman;Times;Serif" w:hAnsi="Times New Roman;Times;Serif"/>
          <w:b w:val="false"/>
          <w:i w:val="false"/>
          <w:caps w:val="false"/>
          <w:smallCaps w:val="false"/>
          <w:sz w:val="20"/>
          <w:u w:val="single"/>
        </w:rPr>
        <w:t>No Disqualification Events</w:t>
      </w:r>
      <w:r>
        <w:rPr>
          <w:rFonts w:ascii="Times New Roman;Times;Serif" w:hAnsi="Times New Roman;Times;Serif"/>
          <w:b w:val="false"/>
          <w:i w:val="false"/>
          <w:caps w:val="false"/>
          <w:smallCaps w:val="false"/>
          <w:sz w:val="20"/>
        </w:rPr>
        <w:t>. With respect to the Instruments to be offered and sold hereunder in reliance on Rule 506 under the Securities Act, none of the Company, any of its predecessors, any affiliated issuer, any director, executive officer, other officer of the Company participating in the offering hereunder, any beneficial owner of 20% or more of the Company’s outstanding voting equity securities, calculated on the basis of voting power, nor any promoter (as that term is defined in Rule 405 under the Securities Act) connected with the Company in any capacity at the time of sale (each, an “</w:t>
      </w:r>
      <w:r>
        <w:rPr>
          <w:rFonts w:ascii="Times New Roman;Times;Serif" w:hAnsi="Times New Roman;Times;Serif"/>
          <w:b w:val="false"/>
          <w:i w:val="false"/>
          <w:caps w:val="false"/>
          <w:smallCaps w:val="false"/>
          <w:sz w:val="20"/>
          <w:u w:val="single"/>
        </w:rPr>
        <w:t>Issuer Covered Person</w:t>
      </w:r>
      <w:r>
        <w:rPr>
          <w:rFonts w:ascii="Times New Roman;Times;Serif" w:hAnsi="Times New Roman;Times;Serif"/>
          <w:b w:val="false"/>
          <w:i w:val="false"/>
          <w:caps w:val="false"/>
          <w:smallCaps w:val="false"/>
          <w:sz w:val="20"/>
        </w:rPr>
        <w:t>” and, together, “</w:t>
      </w:r>
      <w:r>
        <w:rPr>
          <w:rFonts w:ascii="Times New Roman;Times;Serif" w:hAnsi="Times New Roman;Times;Serif"/>
          <w:b w:val="false"/>
          <w:i w:val="false"/>
          <w:caps w:val="false"/>
          <w:smallCaps w:val="false"/>
          <w:sz w:val="20"/>
          <w:u w:val="single"/>
        </w:rPr>
        <w:t>Issuer Covered Persons</w:t>
      </w:r>
      <w:r>
        <w:rPr>
          <w:rFonts w:ascii="Times New Roman;Times;Serif" w:hAnsi="Times New Roman;Times;Serif"/>
          <w:b w:val="false"/>
          <w:i w:val="false"/>
          <w:caps w:val="false"/>
          <w:smallCaps w:val="false"/>
          <w:sz w:val="20"/>
        </w:rPr>
        <w:t>”) is subject to any of the “Bad Actor” disqualifications described in Rule 506(d)(1)(i) to (viii) under the Securities Act (a “</w:t>
      </w:r>
      <w:r>
        <w:rPr>
          <w:rFonts w:ascii="Times New Roman;Times;Serif" w:hAnsi="Times New Roman;Times;Serif"/>
          <w:b w:val="false"/>
          <w:i w:val="false"/>
          <w:caps w:val="false"/>
          <w:smallCaps w:val="false"/>
          <w:sz w:val="20"/>
          <w:u w:val="single"/>
        </w:rPr>
        <w:t>Disqualification Event</w:t>
      </w:r>
      <w:r>
        <w:rPr>
          <w:rFonts w:ascii="Times New Roman;Times;Serif" w:hAnsi="Times New Roman;Times;Serif"/>
          <w:b w:val="false"/>
          <w:i w:val="false"/>
          <w:caps w:val="false"/>
          <w:smallCaps w:val="false"/>
          <w:sz w:val="20"/>
        </w:rPr>
        <w:t>”), except for a Disqualification Event covered by Rule 506(d)(2) or (d)(3). The Company has exercised reasonable care to determine whether any Issuer Covered Person is subject to a Disqualification Event. The Company has complied, to the extent applicable, with its disclosure obligations under Rule 506(e), and has furnished to the Purchasers a copy of any disclosures provided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(ss) </w:t>
      </w:r>
      <w:r>
        <w:rPr>
          <w:rFonts w:ascii="Times New Roman;Times;Serif" w:hAnsi="Times New Roman;Times;Serif"/>
          <w:b w:val="false"/>
          <w:i w:val="false"/>
          <w:caps w:val="false"/>
          <w:smallCaps w:val="false"/>
          <w:sz w:val="20"/>
          <w:u w:val="single"/>
        </w:rPr>
        <w:t>Other Covered Persons</w:t>
      </w:r>
      <w:r>
        <w:rPr>
          <w:rFonts w:ascii="Times New Roman;Times;Serif" w:hAnsi="Times New Roman;Times;Serif"/>
          <w:b w:val="false"/>
          <w:i w:val="false"/>
          <w:caps w:val="false"/>
          <w:smallCaps w:val="false"/>
          <w:sz w:val="20"/>
        </w:rPr>
        <w:t>. The Company is not aware of any person (other than any Issuer Covered Person) that has been or will be paid (directly or indirectly) remuneration for solicitation of purchasers in connection with the sale of any Instruments.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(tt) </w:t>
      </w:r>
      <w:r>
        <w:rPr>
          <w:rFonts w:ascii="Times New Roman;Times;Serif" w:hAnsi="Times New Roman;Times;Serif"/>
          <w:b w:val="false"/>
          <w:i w:val="false"/>
          <w:caps w:val="false"/>
          <w:smallCaps w:val="false"/>
          <w:sz w:val="20"/>
          <w:u w:val="single"/>
        </w:rPr>
        <w:t>Notice of Disqualification Events</w:t>
      </w:r>
      <w:r>
        <w:rPr>
          <w:rFonts w:ascii="Times New Roman;Times;Serif" w:hAnsi="Times New Roman;Times;Serif"/>
          <w:b w:val="false"/>
          <w:i w:val="false"/>
          <w:caps w:val="false"/>
          <w:smallCaps w:val="false"/>
          <w:sz w:val="20"/>
        </w:rPr>
        <w:t>. The Company will notify the Purchasers in writing, prior to the Closing Date of (i) any Disqualification Event relating to any Issuer Covered Person and (ii) any event that would, with the passage of time, become a Disqualification Event relating to any Issuer Covered Person.</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22</w:t>
      </w:r>
    </w:p>
    <w:p>
      <w:pPr>
        <w:pStyle w:val="TextBody"/>
        <w:bidi w:val="0"/>
        <w:spacing w:before="0" w:after="0"/>
        <w:ind w:left="0" w:right="0" w:hanging="0"/>
        <w:jc w:val="left"/>
        <w:rPr/>
      </w:pPr>
      <w:r>
        <w:rPr/>
        <w:t> </w:t>
      </w:r>
    </w:p>
    <w:p>
      <w:pPr>
        <w:pStyle w:val="TextBody"/>
        <w:bidi w:val="0"/>
        <w:spacing w:before="0" w:after="0"/>
        <w:ind w:left="720" w:right="0" w:firstLine="72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(uu) </w:t>
      </w:r>
      <w:r>
        <w:rPr>
          <w:rFonts w:ascii="Times New Roman;Times;Serif" w:hAnsi="Times New Roman;Times;Serif"/>
          <w:b w:val="false"/>
          <w:i w:val="false"/>
          <w:caps w:val="false"/>
          <w:smallCaps w:val="false"/>
          <w:sz w:val="20"/>
          <w:u w:val="single"/>
        </w:rPr>
        <w:t>Shell Company Status</w:t>
      </w:r>
      <w:r>
        <w:rPr>
          <w:rFonts w:ascii="Times New Roman;Times;Serif" w:hAnsi="Times New Roman;Times;Serif"/>
          <w:b w:val="false"/>
          <w:i w:val="false"/>
          <w:caps w:val="false"/>
          <w:smallCaps w:val="false"/>
          <w:sz w:val="20"/>
        </w:rPr>
        <w:t>. The Company is not, and has never been, an issuer identified in, or subject to, Rule 144(i)(1) of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(vv) </w:t>
      </w:r>
      <w:r>
        <w:rPr>
          <w:rFonts w:ascii="Times New Roman;Times;Serif" w:hAnsi="Times New Roman;Times;Serif"/>
          <w:b w:val="false"/>
          <w:i w:val="false"/>
          <w:caps w:val="false"/>
          <w:smallCaps w:val="false"/>
          <w:sz w:val="20"/>
          <w:u w:val="single"/>
        </w:rPr>
        <w:t>Change of Control Provisions</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Schedule 3.1(vv)</w:t>
      </w:r>
      <w:r>
        <w:rPr>
          <w:rFonts w:ascii="Times New Roman;Times;Serif" w:hAnsi="Times New Roman;Times;Serif"/>
          <w:b w:val="false"/>
          <w:i w:val="false"/>
          <w:caps w:val="false"/>
          <w:smallCaps w:val="false"/>
          <w:sz w:val="20"/>
        </w:rPr>
        <w:t xml:space="preserve"> sets forth a list of all agreements, that upon the occurrence of any Fundamental Transaction (as defined in the Notes) or a Change of Control (as defined in the Notes) of the Company or any of its Subsidiaries, (i) requires the Company, any of its Subsidiaries, any purchasers or successor entities thereof, to make any payments or (ii) cause any liabilities or liens to arise on the Company, any of its Subsidiaries or any assets or properties of the Company or any of its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t>
      </w:r>
      <w:r>
        <w:rPr>
          <w:rFonts w:ascii="Times New Roman;Times;Serif" w:hAnsi="Times New Roman;Times;Serif"/>
          <w:b w:val="false"/>
          <w:i w:val="false"/>
          <w:caps w:val="false"/>
          <w:smallCaps w:val="false"/>
          <w:sz w:val="20"/>
          <w:u w:val="single"/>
        </w:rPr>
        <w:t>Representations and Warranties of the Purchasers</w:t>
      </w:r>
      <w:r>
        <w:rPr>
          <w:rFonts w:ascii="Times New Roman;Times;Serif" w:hAnsi="Times New Roman;Times;Serif"/>
          <w:b w:val="false"/>
          <w:i w:val="false"/>
          <w:caps w:val="false"/>
          <w:smallCaps w:val="false"/>
          <w:sz w:val="20"/>
        </w:rPr>
        <w:t>. Each Purchaser, for itself and for no other Purchaser, hereby represents and warrants as of the date hereof and as of the Closing Date to the Company as follows (unless as of a specific date therein, in which case they shall be accurate as of such date):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Organization; Authority</w:t>
      </w:r>
      <w:r>
        <w:rPr>
          <w:rFonts w:ascii="Times New Roman;Times;Serif" w:hAnsi="Times New Roman;Times;Serif"/>
          <w:b w:val="false"/>
          <w:i w:val="false"/>
          <w:caps w:val="false"/>
          <w:smallCaps w:val="false"/>
          <w:sz w:val="20"/>
        </w:rPr>
        <w:t>. Such Purchaser is either an individual or an entity duly incorporated or formed, validly existing and in good standing under the laws of the jurisdiction of its incorporation or formation with full right, corporate, partnership, limited liability company or similar power and authority to enter into and to consummate the transactions contemplated by the Transaction Documents and otherwise to carry out its obligations hereunder and thereunder. The execution and delivery of the Transaction Documents and performance by such Purchaser of the transactions contemplated by the Transaction Documents have been duly authorized by all necessary corporate, partnership, limited liability company or similar action, as applicable, on the part of such Purchaser. Each Transaction Document to which it is a party has been duly executed by such Purchaser, and when delivered by such Purchaser in accordance with the terms hereof, will constitute the valid and legally binding obligation of such Purchaser, enforceable against it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or (iii) insofar as indemnification and contribution provisions may be limited by applicable law.</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Own Account</w:t>
      </w:r>
      <w:r>
        <w:rPr>
          <w:rFonts w:ascii="Times New Roman;Times;Serif" w:hAnsi="Times New Roman;Times;Serif"/>
          <w:b w:val="false"/>
          <w:i w:val="false"/>
          <w:caps w:val="false"/>
          <w:smallCaps w:val="false"/>
          <w:sz w:val="20"/>
        </w:rPr>
        <w:t>. Such Purchaser understands that the Instruments are “restricted securities” and have not been registered under the Securities Act or any applicable state securities law and is acquiring the Instruments as principal for its own account and not with a view to or for distributing or reselling such Instruments or any part thereof in violation of the Securities Act or any applicable state securities law, has no present intention of distributing any of such Instruments in violation of the Securities Act or any applicable state securities law and has no direct or indirect arrangement or understandings with any other persons to distribute or regarding the distribution of such Instruments in violation of the Securities Act or any applicable state securities law (this representation and warranty not limiting such Purchaser’s right to sell the Instruments pursuant to a registration statement, including, but not limited to, the Registration Statement, or otherwise in compliance with applicable federal and state securities laws). Such Purchaser is acquiring the Instruments hereunder in the ordinary course of its business.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23</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Purchaser Status</w:t>
      </w:r>
      <w:r>
        <w:rPr>
          <w:rFonts w:ascii="Times New Roman;Times;Serif" w:hAnsi="Times New Roman;Times;Serif"/>
          <w:b w:val="false"/>
          <w:i w:val="false"/>
          <w:caps w:val="false"/>
          <w:smallCaps w:val="false"/>
          <w:sz w:val="20"/>
        </w:rPr>
        <w:t>. At the time such Purchaser was offered the Instruments, it was, and as of the date hereof it is, and on each date on which it converts any Notes it will be an “accredited investor” as defined in Rule 501(a)(1), (a)(2), (a)(3), (a)(7), (a)(8), (a)(9), (a)(12) or (a)(13) under the Securities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Experience of Such Purchaser</w:t>
      </w:r>
      <w:r>
        <w:rPr>
          <w:rFonts w:ascii="Times New Roman;Times;Serif" w:hAnsi="Times New Roman;Times;Serif"/>
          <w:b w:val="false"/>
          <w:i w:val="false"/>
          <w:caps w:val="false"/>
          <w:smallCaps w:val="false"/>
          <w:sz w:val="20"/>
        </w:rPr>
        <w:t>. Such Purchaser, either alone or together with its representatives, has such knowledge, sophistication and experience in business and financial matters so as to be capable of evaluating the merits and risks of the prospective investment in the Instruments, and has so evaluated the merits and risks of such investment. Such Purchaser is able to bear the economic risk of an investment in the Instruments and, at the present time, is able to afford a complete loss of such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General Solicitation</w:t>
      </w:r>
      <w:r>
        <w:rPr>
          <w:rFonts w:ascii="Times New Roman;Times;Serif" w:hAnsi="Times New Roman;Times;Serif"/>
          <w:b w:val="false"/>
          <w:i w:val="false"/>
          <w:caps w:val="false"/>
          <w:smallCaps w:val="false"/>
          <w:sz w:val="20"/>
        </w:rPr>
        <w:t>. Such Purchaser is not, to such Purchaser’s knowledge, purchasing the Instruments as a result of any advertisement, article, notice or other communication regarding the Instruments published in any newspaper, magazine or similar media or broadcast over television or radio or presented at any seminar or, to the knowledge of such Purchaser, any other general solicitation or general advertisement.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Access to Information</w:t>
      </w:r>
      <w:r>
        <w:rPr>
          <w:rFonts w:ascii="Times New Roman;Times;Serif" w:hAnsi="Times New Roman;Times;Serif"/>
          <w:b w:val="false"/>
          <w:i w:val="false"/>
          <w:caps w:val="false"/>
          <w:smallCaps w:val="false"/>
          <w:sz w:val="20"/>
        </w:rPr>
        <w:t>. Such Purchaser acknowledges that it has had the opportunity to review the Transaction Documents (including all exhibits and schedules thereto) and the SEC Reports and has been afforded (i) the opportunity to ask such questions as it has deemed necessary of, and to receive answers from, representatives of the Company concerning the terms and conditions of the offering of the Instruments and the merits and risks of investing in the Instruments; (ii) access to information about the Company and its financial condition, results of operations, business, properties, management and prospects sufficient to enable it to evaluate its investment; and (iii) the opportunity to obtain such additional information that the Company possesses or can acquire without unreasonable effort or expense that is necessary to make an informed investment decision with respect to the investment.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Other than consummating the transactions contemplated hereunder, such Purchaser has not, nor has any Person acting on behalf of or pursuant to any understanding with such Purchaser, directly or indirectly executed any purchases or sales, including Short Sales, of the securities of the Company during the period commencing as of the time that such Purchaser first received a term sheet (written or oral) from the Company or any other Person representing the Company setting forth the material terms of the transactions contemplated hereunder and ending immediately prior to the execution hereof.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representation set forth above shall only apply with respect to the portion of assets managed by the portfolio manager that made the investment decision to purchase the Instruments covered by this Agreement. Other than to other Persons party to this Agreement or to such Purchaser’s representatives, including, without limitation, its officers, directors, partners, legal and other advisors, employees, agents and Affiliates, such Purchaser has maintained the confidentiality of all disclosures made to it in connection with this transaction (including the existence and terms of this transaction). Notwithstanding the foregoing, for the avoidance of doubt, nothing contained herein shall constitute a representation or warranty against, or a prohibition of, any actions with respect to the borrowing of, arrangement to borrow, identification of the availability of, and/or securing of, securities of the Company in order for such Purchaser (or its broker or other financial representative)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the representations contained in this Section 3.2 shall not modify, amend or affect such Purchaser’s right to rely on the Company’s representations and warranties contained in this Agreement or any representations and warranties contained in any other Transaction Document or any other document or instrument executed and/or delivered in connection with this Agreement or the consummation of the transactions contemplated hereby. Notwithstanding the foregoing, for the avoidance of doubt, nothing contained herein shall constitute a representation or warranty, or preclude any actions, with respect to locating or borrowing shares in order to effect Short Sales or similar transactions in the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24</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IV.</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AGREEMENTS OF THE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4.1 </w:t>
      </w:r>
      <w:r>
        <w:rPr>
          <w:rFonts w:ascii="Times New Roman;Times;Serif" w:hAnsi="Times New Roman;Times;Serif"/>
          <w:b w:val="false"/>
          <w:i w:val="false"/>
          <w:caps w:val="false"/>
          <w:smallCaps w:val="false"/>
          <w:sz w:val="20"/>
          <w:u w:val="single"/>
        </w:rPr>
        <w:t>Transfer Restrictions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Instruments may only be disposed of in compliance with state and federal securities laws. In connection with any transfer of Instruments other than pursuant to an effective registration statement or Rule 144, to the Company or to an Affiliate of a Purchaser or in connection with a pledge as contemplated in Section 4.1(b), the Company may require the transferor thereof to provide to the Company an opinion of counsel selected by the transferor and reasonably acceptable to the Company, the form and substance of which opinion shall be reasonably satisfactory to the Company, to the effect that such transfer does not require registration of such transferred Instruments under the Securities Act. As a condition of transfer, any such transferee shall agree in writing to be bound by the terms of this Agreement and the Registration Rights Agreement and shall have the rights and obligations of a Purchaser under this Agreement and the Registration Rights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Purchasers agree to the imprinting, so long as is required by this Section 4.1, of a legend on any of the Instruments in the following form:</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INSTRUMENT [NOR THE INSTRUMENTS INTO WHICH THIS INSTRUMENT IS [EXERCISABLE] [CONVERTIBLE]] HAS [NOT] BEEN REGISTERED WITH THE SECURITIES AND EXCHANGE COMMISSION OR THE SECURITIES COMMISSION OF ANY STATE IN RELIANCE UPON AN EXEMPTION FROM REGISTRATION UNDER THE SECURITIES ACT OF 1933, AS AMENDED (THE “SECURITIES ACT”), AND, ACCORDINGLY, MAY NOT BE OFFERED OR SOLD EXCEPT PURSUANT TO AN EFFECTIVE REGISTRATION STATEMENT UNDER THE SECURITIES ACT OR PURSUANT TO AN AVAILABLE EXEMPTION FROM, OR IN A TRANSACTION NOT SUBJECT TO, THE REGISTRATION REQUIREMENTS OF THE SECURITIES ACT AND IN ACCORDANCE WITH APPLICABLE STATE SECURITIES LAWS. THIS INSTRUMENT [AND THE INSTRUMENTS ISSUABLE UPON [EXERCISE] [CONVERSION] OF THIS INSTRUMENT] MAY BE PLEDGED IN CONNECTION WITH A BONA FIDE MARGIN ACCOUNT WITH A REGISTERED BROKER-DEALER OR OTHER LOAN WITH A FINANCIAL INSTITUTION THAT IS AN “ACCREDITED INVESTOR” AS DEFINED IN RULE 501(a) UNDER THE SECURITIES ACT OR OTHER LOAN SECURED BY SUCH INSTRUMENTS.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a Purchaser may from time to time pledge pursuant to a bona fide margin agreement with a registered broker-dealer or grant a security interest in some or all of the Instruments to a financial institution that is an “accredited investor” as defined in Rule 501(a) under the Securities Act and, if required under the terms of such arrangement, such Purchaser may transfer pledged or secured Instruments to the pledgees or secured parties. Such a pledge or transfer would not be subject to approval of the Company and no legal opinion of legal counsel of the pledgee, secured party or pledgor shall be required in connection therewith. Further, no notice shall be required of such pledge. At the appropriate Purchaser’s expense, the Company will execute and deliver such reasonable documentation as a pledgee or secured party of Instruments may reasonably request in connection with a pledge or transfer of the Instruments, including, if the Instruments are subject to registration pursuant to the Registration Rights Agreement, the preparation and filing of any required prospectus supplement under Rule 424(b)(3) under the Securities Act or other applicable provision of the Securities Act to appropriately amend the list of Selling Stockholders thereunder.</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25</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Certificates evidencing the Underlying Shares shall not contain any legend (including the legend set forth in Section 4.1(b) hereof): (i) while a registration statement (including the Registration Statement) covering the resale of such security is effective under the Securities Act, (ii) following any sale of such Underlying Shares pursuant to Rule 144, (iii) if such Underlying Shares are eligible for sale under Rule 144, without the volume or manner-of-sale restrictions or (iv) if such legend is not required under applicable requirements of the Securities Act (including judicial interpretations and pronouncements issued by the staff of the Commission). The Company shall cause its counsel to issue a legal opinion to the Transfer Agent or the Purchaser promptly after such time as such legend is no longer required under this Section 4.1(c), and in any event within such time as to enable the Transfer Agent to remove the legend hereunder by the Legend Removal Date, if required by the Transfer Agent to effect the removal of the legend hereunder, or if requested by a Purchaser, respectively. If all or any portion of a Note is converted at a time when there is an effective registration statement to cover the resale of the Underlying Shares, or if such Underlying Shares may be sold under Rule 144 without volume or manner-of-sale restrictions or if such legend is not otherwise required under applicable requirements of the Securities Act (including judicial interpretations and pronouncements issued by the staff of the Commission) then such Underlying Shares shall be issued free of all legends. The Company agrees that at such time as such legend is no longer required under this Section 4.1(c), it will, no later than the earlier of (i) one (1) Trading Day and (ii) the number of Trading Days comprising the Standard Settlement Period following the delivery by a Purchaser to the Company or the Transfer Agent of a certificate representing Underlying Shares, as applicable, issued with a restrictive legend (such date, the “</w:t>
      </w:r>
      <w:r>
        <w:rPr>
          <w:rFonts w:ascii="Times New Roman;Times;Serif" w:hAnsi="Times New Roman;Times;Serif"/>
          <w:b w:val="false"/>
          <w:i w:val="false"/>
          <w:caps w:val="false"/>
          <w:smallCaps w:val="false"/>
          <w:sz w:val="20"/>
          <w:u w:val="single"/>
        </w:rPr>
        <w:t>Legend Removal Date</w:t>
      </w:r>
      <w:r>
        <w:rPr>
          <w:rFonts w:ascii="Times New Roman;Times;Serif" w:hAnsi="Times New Roman;Times;Serif"/>
          <w:b w:val="false"/>
          <w:i w:val="false"/>
          <w:caps w:val="false"/>
          <w:smallCaps w:val="false"/>
          <w:sz w:val="20"/>
        </w:rPr>
        <w:t>”), deliver or cause to be delivered to such Purchaser a certificate representing such shares that is free from all restrictive and other legends. The Company may not make any notation on its records or give instructions to the Transfer Agent that enlarge the restrictions on transfer set forth in this Section 4. Certificates for Underlying Shares subject to legend removal hereunder shall be transmitted by the Transfer Agent to the Purchaser by crediting the account of the Purchaser’s prime broker with the Depository Trust Company System as directed by such Purchaser. As used herein, “</w:t>
      </w:r>
      <w:r>
        <w:rPr>
          <w:rFonts w:ascii="Times New Roman;Times;Serif" w:hAnsi="Times New Roman;Times;Serif"/>
          <w:b w:val="false"/>
          <w:i w:val="false"/>
          <w:caps w:val="false"/>
          <w:smallCaps w:val="false"/>
          <w:sz w:val="20"/>
          <w:u w:val="single"/>
        </w:rPr>
        <w:t>Standard Settlement Period</w:t>
      </w:r>
      <w:r>
        <w:rPr>
          <w:rFonts w:ascii="Times New Roman;Times;Serif" w:hAnsi="Times New Roman;Times;Serif"/>
          <w:b w:val="false"/>
          <w:i w:val="false"/>
          <w:caps w:val="false"/>
          <w:smallCaps w:val="false"/>
          <w:sz w:val="20"/>
        </w:rPr>
        <w:t>” means the standard settlement period, expressed in a number of Trading Days, on the Company’s primary Trading Market with respect to the Common Stock as in effect on the date of delivery of a certificate representing Underlying Shares, as applicable, issued with a restrictive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addition to such Purchaser’s other available remedies, the Company shall pay to a Purchaser, in cash, (i) as partial liquidated damages and not as a penalty, for each $1,000 of Underlying Shares (based on the VWAP of the Common Stock on the date such Instruments are submitted to the Transfer Agent) delivered for removal of the restrictive legend and subject to Section 4.1(c), $10 per Trading Day (increasing to $20 per Trading Day five (5) Trading Days after such damages have begun to accrue) for each Trading Day after the Legend Removal Date until such certificate is delivered without a legend and (ii) if the Company fails to (a) issue and deliver (or cause to be delivered) to a Purchaser by the Legend Removal Date a certificate representing the Instruments so delivered to the Company by such Purchaser that is free from all restrictive and other legends and (b) if after the Legend Removal Date such Purchaser purchases (in an open market transaction or otherwise) shares of Common Stock to deliver in satisfaction of a sale by such Purchaser of all or any portion of the number of shares of Common Stock, or a sale of a number of shares of Common Stock equal to all or any portion of the number of shares of Common Stock that such Purchaser anticipated receiving from the Company without any restrictive legend, then, an amount equal to the excess of such Purchaser’s total purchase price (including brokerage commissions and other out-of-pocket expenses, if any) for the shares of Common Stock so purchased (including brokerage commissions and other out-of-pocket expenses, if any) over the product of (A) such number of Underlying Shares that the Company was required to deliver to such Purchaser by the Legend Removal Date multiplied by (B) the lowest closing sale price of the Common Stock on any Trading Day during the period commencing on the date of the delivery by such Purchaser to the Company of the applicable Underlying Shares (as the case may be) and ending on the date of such delivery and payment under this clause (ii).</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Purchaser, severally and not jointly with the other Purchasers, agrees with the Company that such Purchaser will sell any Instruments pursuant to either the registration requirements of the Securities Act, including any applicable prospectus delivery requirements, or an exemption therefrom, and that if Instruments are sold pursuant to a Registration Statement, they will be sold in compliance with the plan of distribution set forth therein, and acknowledges that the removal of the restrictive legend from certificates representing Instruments as set forth in this Section 4.1 is predicated upon the Company’s reliance upon this understanding.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4.2 </w:t>
      </w:r>
      <w:r>
        <w:rPr>
          <w:rFonts w:ascii="Times New Roman;Times;Serif" w:hAnsi="Times New Roman;Times;Serif"/>
          <w:b w:val="false"/>
          <w:i w:val="false"/>
          <w:caps w:val="false"/>
          <w:smallCaps w:val="false"/>
          <w:sz w:val="20"/>
          <w:u w:val="single"/>
        </w:rPr>
        <w:t>Acknowledgment of Dilution</w:t>
      </w:r>
      <w:r>
        <w:rPr>
          <w:rFonts w:ascii="Times New Roman;Times;Serif" w:hAnsi="Times New Roman;Times;Serif"/>
          <w:b w:val="false"/>
          <w:i w:val="false"/>
          <w:caps w:val="false"/>
          <w:smallCaps w:val="false"/>
          <w:sz w:val="20"/>
        </w:rPr>
        <w:t>. The Company acknowledges that the issuance of the Instruments may result in dilution of the outstanding shares of Common Stock, which dilution may be substantial under certain market conditions. The Company further acknowledges that its obligations under the Transaction Documents, including, without limitation, its obligation to issue the Underlying Shares pursuant to the Transaction Documents, are unconditional and absolute and not subject to any right of set off, counterclaim, delay or reduction, regardless of the effect of any such dilution or any claim the Company may have against any Purchaser and regardless of the dilutive effect that such issuance may have on the ownership of the other stockholders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4.3 </w:t>
      </w:r>
      <w:r>
        <w:rPr>
          <w:rFonts w:ascii="Times New Roman;Times;Serif" w:hAnsi="Times New Roman;Times;Serif"/>
          <w:b w:val="false"/>
          <w:i w:val="false"/>
          <w:caps w:val="false"/>
          <w:smallCaps w:val="false"/>
          <w:sz w:val="20"/>
          <w:u w:val="single"/>
        </w:rPr>
        <w:t>Furnishing of Information; Public Information</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Until the time that no Purchaser owns Instruments, the Company covenants to maintain the registration of the Common Stock under Section 12(b) or 12(g) of the Exchange Act and to timely file (or obtain extensions in respect thereof and file within the applicable grace period) all reports required to be filed by the Company after the date hereof pursuant to the Exchange Act even if the Company is not then subject to the reporting requirements of the Exchange Act.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any time during the period commencing from the six (6) month anniversary of the date hereof and ending at such time that all of the Instruments may be sold without the requirement for the Company to be in compliance with Rule 144(c)(1) and otherwise without restriction or limitation pursuant to Rule 144, if the Company (i) shall fail for any reason to satisfy the current public information requirement under Rule 144(c) or (ii) has ever been an issuer described in Rule 144 (i)(1)(i) or becomes an issuer in the future, and the Company shall fail to satisfy any condition set forth in Rule 144(i)(2) (a “</w:t>
      </w:r>
      <w:r>
        <w:rPr>
          <w:rFonts w:ascii="Times New Roman;Times;Serif" w:hAnsi="Times New Roman;Times;Serif"/>
          <w:b w:val="false"/>
          <w:i w:val="false"/>
          <w:caps w:val="false"/>
          <w:smallCaps w:val="false"/>
          <w:sz w:val="20"/>
          <w:u w:val="single"/>
        </w:rPr>
        <w:t>Public Information Failure</w:t>
      </w:r>
      <w:r>
        <w:rPr>
          <w:rFonts w:ascii="Times New Roman;Times;Serif" w:hAnsi="Times New Roman;Times;Serif"/>
          <w:b w:val="false"/>
          <w:i w:val="false"/>
          <w:caps w:val="false"/>
          <w:smallCaps w:val="false"/>
          <w:sz w:val="20"/>
        </w:rPr>
        <w:t>”) then, in addition to such Purchaser’s other available remedies, the Company shall pay to a Purchaser, in cash, as partial liquidated damages and not as a penalty, by reason of any such delay in or reduction of its ability to sell the Instruments, an amount in cash equal to two percent (2.0%) of the aggregate Subscription Amount of such Purchaser’s Instruments on the day of a Public Information Failure and on every thirtieth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thereafter (pro rated for periods totaling less than thirty days) thereafter until the earlier of (a) the date such Public Information Failure is cured and (b) such time that such public information is no longer required for the Purchasers to transfer the Underlying Shares pursuant to Rule 144. The payments to which a Purchaser shall be entitled pursuant to this Section 4.3(b) are referred to herein as “</w:t>
      </w:r>
      <w:r>
        <w:rPr>
          <w:rFonts w:ascii="Times New Roman;Times;Serif" w:hAnsi="Times New Roman;Times;Serif"/>
          <w:b w:val="false"/>
          <w:i w:val="false"/>
          <w:caps w:val="false"/>
          <w:smallCaps w:val="false"/>
          <w:sz w:val="20"/>
          <w:u w:val="single"/>
        </w:rPr>
        <w:t>Public Information Failure Payments</w:t>
      </w:r>
      <w:r>
        <w:rPr>
          <w:rFonts w:ascii="Times New Roman;Times;Serif" w:hAnsi="Times New Roman;Times;Serif"/>
          <w:b w:val="false"/>
          <w:i w:val="false"/>
          <w:caps w:val="false"/>
          <w:smallCaps w:val="false"/>
          <w:sz w:val="20"/>
        </w:rPr>
        <w:t>.” Public Information Failure Payments shall be paid on the earlier of (i) the last day of the calendar month during which such Public Information Failure Payments are incurred and (ii) the third (3</w:t>
      </w:r>
      <w:r>
        <w:rPr>
          <w:rFonts w:ascii="Times New Roman;Times;Serif" w:hAnsi="Times New Roman;Times;Serif"/>
          <w:b w:val="false"/>
          <w:i w:val="false"/>
          <w:caps w:val="false"/>
          <w:smallCaps w:val="false"/>
          <w:position w:val="7"/>
          <w:sz w:val="16"/>
          <w:sz w:val="20"/>
        </w:rPr>
        <w:t>rd</w:t>
      </w:r>
      <w:r>
        <w:rPr>
          <w:rFonts w:ascii="Times New Roman;Times;Serif" w:hAnsi="Times New Roman;Times;Serif"/>
          <w:b w:val="false"/>
          <w:i w:val="false"/>
          <w:caps w:val="false"/>
          <w:smallCaps w:val="false"/>
          <w:sz w:val="20"/>
        </w:rPr>
        <w:t>) Business Day after the event or failure giving rise to the Public Information Failure Payments is cured. In the event the Company fails to make Public Information Failure Payments in a timely manner, such Public Information Failure Payments shall bear interest at the rate of 1.5% per month (prorated for partial months) until paid in full. Nothing herein shall limit such Purchaser’s right to pursue actual damages for the Public Information Failure, and such Purchaser shall have the right to pursue all remedies available to it at law or in equity including, without limitation, a decree of specific performance and/or injunctive relief.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4.4 </w:t>
      </w:r>
      <w:r>
        <w:rPr>
          <w:rFonts w:ascii="Times New Roman;Times;Serif" w:hAnsi="Times New Roman;Times;Serif"/>
          <w:b w:val="false"/>
          <w:i w:val="false"/>
          <w:caps w:val="false"/>
          <w:smallCaps w:val="false"/>
          <w:sz w:val="20"/>
          <w:u w:val="single"/>
        </w:rPr>
        <w:t>Integration</w:t>
      </w:r>
      <w:r>
        <w:rPr>
          <w:rFonts w:ascii="Times New Roman;Times;Serif" w:hAnsi="Times New Roman;Times;Serif"/>
          <w:b w:val="false"/>
          <w:i w:val="false"/>
          <w:caps w:val="false"/>
          <w:smallCaps w:val="false"/>
          <w:sz w:val="20"/>
        </w:rPr>
        <w:t>. The Company shall not sell, offer for sale or solicit offers to buy or otherwise negotiate in respect of any security (as defined in Section 2 of the Securities Act) that would be integrated with the offer or sale of the Instruments in a manner that would require the registration under the Securities Act of the sale of the Instruments or that would be integrated with the offer or sale of the Instruments for purposes of the rules and regulations of any Trading Market such that it would require shareholder approval prior to the closing of such other transaction unless shareholder approval is obtained before the closing of such subsequent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4.5 </w:t>
      </w:r>
      <w:r>
        <w:rPr>
          <w:rFonts w:ascii="Times New Roman;Times;Serif" w:hAnsi="Times New Roman;Times;Serif"/>
          <w:b w:val="false"/>
          <w:i w:val="false"/>
          <w:caps w:val="false"/>
          <w:smallCaps w:val="false"/>
          <w:sz w:val="20"/>
          <w:u w:val="single"/>
        </w:rPr>
        <w:t xml:space="preserve">Conversion </w:t>
      </w:r>
      <w:r>
        <w:rPr>
          <w:rFonts w:ascii="Times New Roman;Times;Serif" w:hAnsi="Times New Roman;Times;Serif"/>
          <w:b w:val="false"/>
          <w:i w:val="false"/>
          <w:caps w:val="false"/>
          <w:smallCaps w:val="false"/>
          <w:sz w:val="20"/>
        </w:rPr>
        <w:t>Procedures. The form of Conversion Notice included in the Notes sets forth the totality of the procedures required of the Purchasers in order to convert the Notes. Without limiting the preceding sentence, no ink-original Conversion Notice shall be required, nor shall any medallion guarantee (or other type of guarantee or notarization) of any Conversion Notice form be required in order to convert the Notes. No additional legal opinion, other information or instructions shall be required of the Purchasers to convert their Notes. The Company shall honor conversions of the Notes and shall deliver Underlying Shares in accordance with the terms, conditions and time periods set forth in the Transaction Documents.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4.6 </w:t>
      </w:r>
      <w:r>
        <w:rPr>
          <w:rFonts w:ascii="Times New Roman;Times;Serif" w:hAnsi="Times New Roman;Times;Serif"/>
          <w:b w:val="false"/>
          <w:i w:val="false"/>
          <w:caps w:val="false"/>
          <w:smallCaps w:val="false"/>
          <w:sz w:val="20"/>
          <w:u w:val="single"/>
        </w:rPr>
        <w:t>Securities Laws Disclosure; Publicity</w:t>
      </w:r>
      <w:r>
        <w:rPr>
          <w:rFonts w:ascii="Times New Roman;Times;Serif" w:hAnsi="Times New Roman;Times;Serif"/>
          <w:b w:val="false"/>
          <w:i w:val="false"/>
          <w:caps w:val="false"/>
          <w:smallCaps w:val="false"/>
          <w:sz w:val="20"/>
        </w:rPr>
        <w:t>. The Company shall (a) by the Disclosure Time, issue a press release disclosing the material terms of the transactions contemplated hereby, and (b) file a Current Report on Form 8-K, including the Transaction Documents as exhibits thereto, with the Commission within the time required by the Exchange Act. From and after the issuance of such press release, the Company represents to the Purchasers that it shall have publicly disclosed all material, non-public information delivered to any of the Purchasers by the Company or any of its Subsidiaries, or any of their respective officers, directors, employees, Affiliates or agents, in connection with the transactions contemplated by the Transaction Documents. In addition, effective upon the issuance of such press release, the Company acknowledges and agrees that any and all confidentiality or similar obligations under any agreement, whether written or oral, between the Company, any of its Subsidiaries or any of their respective officers, directors, agents, employees or Affiliates, on the one hand, and any of the Purchasers or any of their Affiliates on the other hand, shall terminate and be of no further force or effect. The Company understands and confirms that each Purchaser shall be relying on the foregoing covenant in effecting transactions in securities of the Company. The Company and each Purchaser shall consult with each other in issuing any other press releases with respect to the transactions contemplated hereby, and neither the Company nor any Purchaser shall issue any such press release nor otherwise make any such public statement without the prior consent of the Company, with respect to any press release of any Purchaser, or without the prior consent of each Purchaser,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Notwithstanding the foregoing, the Company shall not publicly disclose the name of any Purchaser, or include the name of any Purchaser in any filing with the Commission or any regulatory agency or Trading Market, without the prior written consent of such Purchaser, except (a) as required by federal securities law in connection with (i) any registration statement contemplated by the Registration Rights Agreement and (ii) the filing of final Transaction Documents with the Commission and (b) to the extent such disclosure is required by law or Trading Market regulations, in which case the Company shall provide the Purchasers with prior notice of such disclosure permitted under this clause (b) and reasonably cooperate with such Purchaser regarding such disclosure.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4.7 </w:t>
      </w:r>
      <w:r>
        <w:rPr>
          <w:rFonts w:ascii="Times New Roman;Times;Serif" w:hAnsi="Times New Roman;Times;Serif"/>
          <w:b w:val="false"/>
          <w:i w:val="false"/>
          <w:caps w:val="false"/>
          <w:smallCaps w:val="false"/>
          <w:sz w:val="20"/>
          <w:u w:val="single"/>
        </w:rPr>
        <w:t>Shareholder Rights Plan</w:t>
      </w:r>
      <w:r>
        <w:rPr>
          <w:rFonts w:ascii="Times New Roman;Times;Serif" w:hAnsi="Times New Roman;Times;Serif"/>
          <w:b w:val="false"/>
          <w:i w:val="false"/>
          <w:caps w:val="false"/>
          <w:smallCaps w:val="false"/>
          <w:sz w:val="20"/>
        </w:rPr>
        <w:t>. No claim will be made or enforced by the Company or, with the consent of the Company, any other Person, that any Purchaser is an “</w:t>
      </w:r>
      <w:r>
        <w:rPr>
          <w:rFonts w:ascii="Times New Roman;Times;Serif" w:hAnsi="Times New Roman;Times;Serif"/>
          <w:b w:val="false"/>
          <w:i w:val="false"/>
          <w:caps w:val="false"/>
          <w:smallCaps w:val="false"/>
          <w:sz w:val="20"/>
          <w:u w:val="single"/>
        </w:rPr>
        <w:t>Acquiring Person</w:t>
      </w:r>
      <w:r>
        <w:rPr>
          <w:rFonts w:ascii="Times New Roman;Times;Serif" w:hAnsi="Times New Roman;Times;Serif"/>
          <w:b w:val="false"/>
          <w:i w:val="false"/>
          <w:caps w:val="false"/>
          <w:smallCaps w:val="false"/>
          <w:sz w:val="20"/>
        </w:rPr>
        <w:t>” under any control share acquisition, business combination, poison pill (including any distribution under a rights agreement) or similar anti-takeover plan or arrangement in effect or hereafter adopted by the Company, or that any Purchaser could be deemed to trigger the provisions of any such plan or arrangement, by virtue of receiving Instruments under the Transaction Documents or under any other agreement between the Company and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4.8 </w:t>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Except with respect to the material terms and conditions of the transactions contemplated by the Transaction Documents, which shall be disclosed pursuant to Section 4.6, the Company covenants and agrees that neither it, nor any other Person acting on its behalf will provide any Purchaser or its agents or counsel with any information that constitutes, or the Company reasonably believes constitutes, material non-public information, unless prior thereto such Purchaser shall have consented in writing to the receipt of such information and agreed in writing with the Company to keep such information confidential. The Company understands and confirms that each Purchaser shall be relying on the foregoing covenant in effecting transactions in securities of the Company. To the extent that the Company, any of its Subsidiaries, or any of their respective officers, director,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Affiliates or agents, or a duty to the Company, any of its Subsidiaries or any of their respective officers, directors, employees, Affiliates or agents,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 To the extent that the Company, any of its Subsidiaries, or any of their respective officers, director, agents, employees or Affiliates delivers any material, non-public information to a Purchaser without such Purchaser’s consent, the Company hereby covenants and agrees that such Purchaser shall not have any duty of confidentiality to the Company, any of its Subsidiaries, or any of their respective officers, directors, employees or Affiliates, or a duty to the Company, any of its Subsidiaries or any of their respective officers, directors, employees or Affiliates, not to trade on the basis of, such material, non-public information, provided that the Purchaser shall remain subject to applicable law. To the extent that any notice provided pursuant to any Transaction Document constitutes, or contains, material, non-public information regarding the Company or any Subsidiaries, the Company shall simultaneously with the delivery of such notice file such notice with the Commission pursuant to a Current Report on Form 8-K. The Company understands and confirms that each Purchaser shall be relying on the foregoing covenant in effecting transactions in securities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4.9 </w:t>
      </w:r>
      <w:r>
        <w:rPr>
          <w:rFonts w:ascii="Times New Roman;Times;Serif" w:hAnsi="Times New Roman;Times;Serif"/>
          <w:b w:val="false"/>
          <w:i w:val="false"/>
          <w:caps w:val="false"/>
          <w:smallCaps w:val="false"/>
          <w:sz w:val="20"/>
          <w:u w:val="single"/>
        </w:rPr>
        <w:t>Use of Proceeds</w:t>
      </w:r>
      <w:r>
        <w:rPr>
          <w:rFonts w:ascii="Times New Roman;Times;Serif" w:hAnsi="Times New Roman;Times;Serif"/>
          <w:b w:val="false"/>
          <w:i w:val="false"/>
          <w:caps w:val="false"/>
          <w:smallCaps w:val="false"/>
          <w:sz w:val="20"/>
        </w:rPr>
        <w:t xml:space="preserve">. Except as set forth on </w:t>
      </w:r>
      <w:r>
        <w:rPr>
          <w:rFonts w:ascii="Times New Roman;Times;Serif" w:hAnsi="Times New Roman;Times;Serif"/>
          <w:b w:val="false"/>
          <w:i w:val="false"/>
          <w:caps w:val="false"/>
          <w:smallCaps w:val="false"/>
          <w:sz w:val="20"/>
          <w:u w:val="single"/>
        </w:rPr>
        <w:t>Schedule 4.9</w:t>
      </w:r>
      <w:r>
        <w:rPr>
          <w:rFonts w:ascii="Times New Roman;Times;Serif" w:hAnsi="Times New Roman;Times;Serif"/>
          <w:b w:val="false"/>
          <w:i w:val="false"/>
          <w:caps w:val="false"/>
          <w:smallCaps w:val="false"/>
          <w:sz w:val="20"/>
        </w:rPr>
        <w:t xml:space="preserve"> attached hereto, the Company shall use the net proceeds from the sale of the Instruments hereunder for (a) the partial repayment of existing indebtedness owed to Yorkville, (b) general working capital, and (c) other corporate purposes approved by the Board of Directors, and shall not use such proceeds: (i) for the redemption of any Common Stock or Common Stock Equivalents, (ii) for the settlement of any outstanding litigation or (iii) in violation of FCPA or OFAC regulations.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4.10 </w:t>
      </w:r>
      <w:r>
        <w:rPr>
          <w:rFonts w:ascii="Times New Roman;Times;Serif" w:hAnsi="Times New Roman;Times;Serif"/>
          <w:b w:val="false"/>
          <w:i w:val="false"/>
          <w:caps w:val="false"/>
          <w:smallCaps w:val="false"/>
          <w:sz w:val="20"/>
          <w:u w:val="single"/>
        </w:rPr>
        <w:t>Indemnification of Purchasers</w:t>
      </w:r>
      <w:r>
        <w:rPr>
          <w:rFonts w:ascii="Times New Roman;Times;Serif" w:hAnsi="Times New Roman;Times;Serif"/>
          <w:b w:val="false"/>
          <w:i w:val="false"/>
          <w:caps w:val="false"/>
          <w:smallCaps w:val="false"/>
          <w:sz w:val="20"/>
        </w:rPr>
        <w:t>. Subject to the provisions of this Section 4.10, the Company will indemnify and hold each Purchaser and its directors, officers, shareholders, members, partners, employees and agents (and any other Persons with a functionally equivalent role of a Person holding such titles notwithstanding a lack of such title or any other title), each Person who controls such Purchaser (within the meaning of Section 15 of the Securities Act and Section 20 of the Exchange Act), and the directors, officers, shareholders, agents, members, partners or employees (and any other Persons with a functionally equivalent role of a Person holding such titles notwithstanding a lack of such title or any other title) of such controlling persons (each, a “</w:t>
      </w:r>
      <w:r>
        <w:rPr>
          <w:rFonts w:ascii="Times New Roman;Times;Serif" w:hAnsi="Times New Roman;Times;Serif"/>
          <w:b w:val="false"/>
          <w:i w:val="false"/>
          <w:caps w:val="false"/>
          <w:smallCaps w:val="false"/>
          <w:sz w:val="20"/>
          <w:u w:val="single"/>
        </w:rPr>
        <w:t>Purchaser Party</w:t>
      </w:r>
      <w:r>
        <w:rPr>
          <w:rFonts w:ascii="Times New Roman;Times;Serif" w:hAnsi="Times New Roman;Times;Serif"/>
          <w:b w:val="false"/>
          <w:i w:val="false"/>
          <w:caps w:val="false"/>
          <w:smallCaps w:val="false"/>
          <w:sz w:val="20"/>
        </w:rPr>
        <w:t>”) harmless from any and all losses, liabilities, obligations, claims, contingencies, damages, costs and expenses, including all judgments, amounts paid in settlements, court costs and reasonable attorneys’ fees and costs of investigation that any such Purchaser Party may suffer or incur as a result of or relating to (a) any breach of any of the representations, warranties, covenants or agreements made by the Company in this Agreement or in the other Transaction Documents or (b) any action instituted against the Purchaser Parties in any capacity (including a Purchaser Party’s status as an investor), or any of them or their respective Affiliates, by the Company or any stockholder of the Company who is not an Affiliate of such Purchaser Party, arising out of or relating to any of the transactions contemplated by the Transaction Documents. For the avoidance of doubt, the indemnification provided herein is intended to, and shall also cover, direct claims brought by the Company against the Purchaser Parties; provided, however, that such indemnification shall not cover any loss, claim, damage or liability to the extent it is finally judicially determined to be attributable to any Purchaser Party’s breach of any of the representations, warranties, covenants or agreements made by such Purchaser Party in any Transaction Document or any conduct by a Purchaser Party which is finally judicially determined to constitute fraud, gross negligence or willful misconduct. If any Action shall be brought against any Purchaser Party in respect of which indemnity may be sought pursuant to this Agreement, such Purchaser Party shall promptly notify the Company in writing, and, except with respect to direct claims brought by the Company, the Company shall have the right to assume the defense thereof with counsel of its own choosing reasonably acceptable to the Purchaser Party. Any Purchaser Party shall have the right to employ separate counsel in any such action and participate in the defense thereof, but the fees and expenses of such counsel shall be at the expense of such Purchaser Party except to the extent that (i) the employment thereof has been specifically authorized by the Company in writing, (ii) the Company has failed after a reasonable period of time to assume such defense and to employ counsel or (iii) in such action there is, in the reasonable opinion of counsel to the applicable Purchaser Party (which may be internal counsel), a material conflict on any material issue between the position of the Company and the position of such Purchaser Party, in which case the Company shall be responsible for the reasonable fees and expenses of no more than one such separate counsel. The Company will not be liable to any Purchaser Party under this Agreement for any settlement by a Purchaser Party effected without the Company’s prior written consent, which shall not be unreasonably withheld or delayed. In addition, if any Purchaser Party takes actions to collect amounts due under any Transaction Documents or to enforce the provisions of any Transaction Documents, then the Company shall pay the costs incurred by such Purchaser Party for such collection, enforcement or action, including, but not limited to, attorneys’ fees and disbursements. The indemnification and other payment obligations required by this Section 4.10 shall be made by periodic payments of the amount thereof during the course of the investigation, defense, collection, enforcement or action, as and when bills are received or are incurred; provided, that if any Purchaser Party is finally judicially determined not to be entitled to indemnification or payment under this Section 4.10, such Purchaser Party shall promptly reimburse the Company for any payments that are advanced under this sentence. The indemnity agreements contained herein shall be in addition to any cause of action or similar right of any Purchaser Party against the Company or others and any liabilities the Company may be subject to pursuant to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29</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4.11 </w:t>
      </w:r>
      <w:r>
        <w:rPr>
          <w:rFonts w:ascii="Times New Roman;Times;Serif" w:hAnsi="Times New Roman;Times;Serif"/>
          <w:b w:val="false"/>
          <w:i w:val="false"/>
          <w:caps w:val="false"/>
          <w:smallCaps w:val="false"/>
          <w:sz w:val="20"/>
          <w:u w:val="single"/>
        </w:rPr>
        <w:t>Reservation and Listing of Instruments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maintain a reserve of the Required Minimum from its duly authorized shares of Common Stock for issuance pursuant to the Transaction Documents in such amount as may then be required to fulfill its obligations in full under the Transaction Documents.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on any date, the number of authorized but unissued (and otherwise unreserved) shares of Common Stock is less than the Required Minimum on such date, then the Board of Directors shall use its reasonable efforts to amend the Company’s certificate or articles of incorporation to increase the number of authorized but unissued shares of Common Stock to at least the Required Minimum at such time, as soon as possible and in any event not later than the 60th day after such date.</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if applicable: (i) in the time and manner required by the principal Trading Market, prepare and file with such Trading Market an additional shares listing application covering a number of shares of Common Stock at least equal to the Required Minimum on the date of such application, (ii) take all steps necessary to cause such shares of Common Stock to be approved for listing or quotation on such Trading Market as soon as possible thereafter, (iii) provide to the Purchasers evidence of such listing or quotation and (iv) maintain the listing or quotation of such Common Stock on any date at least equal to the Required Minimum on such date on such Trading Market or another Trading Market.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4.12 </w:t>
      </w:r>
      <w:r>
        <w:rPr>
          <w:rFonts w:ascii="Times New Roman;Times;Serif" w:hAnsi="Times New Roman;Times;Serif"/>
          <w:b w:val="false"/>
          <w:i w:val="false"/>
          <w:caps w:val="false"/>
          <w:smallCaps w:val="false"/>
          <w:sz w:val="20"/>
          <w:u w:val="single"/>
          <w:shd w:fill="FFFFFF" w:val="clear"/>
        </w:rPr>
        <w:t>Participation in Future Financing</w:t>
      </w:r>
      <w:r>
        <w:rPr>
          <w:rFonts w:ascii="Times New Roman;Times;Serif" w:hAnsi="Times New Roman;Times;Serif"/>
          <w:b w:val="false"/>
          <w:i w:val="false"/>
          <w:caps w:val="false"/>
          <w:smallCaps w:val="false"/>
          <w:sz w:val="20"/>
          <w:shd w:fill="FFFFFF" w:val="clear"/>
        </w:rPr>
        <w:t xml:space="preserve">.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shd w:fill="FFFFFF" w:val="clear"/>
        </w:rPr>
        <w:t>From the date hereof until May 4, 2028, upon any, direct or indirect, offer, sale, grant of any option to purchase, or disposition of (or announcement any offer, sale, grant of any option to purchase, or disposition of) any of its or its Subsidiaries’ equity, debt or equity equivalent securities, including without limitation any Indebtedness, preferred stock or other instrument or security that is, at any time during its life and under any circumstances, convertible into or exchangeable or exercisable for shares of Common Stock or Common Stock Equivalents (any such offer, sale, grant, disposition or announcement being referred to as a “</w:t>
      </w:r>
      <w:r>
        <w:rPr>
          <w:rFonts w:ascii="Times New Roman;Times;Serif" w:hAnsi="Times New Roman;Times;Serif"/>
          <w:b w:val="false"/>
          <w:i w:val="false"/>
          <w:caps w:val="false"/>
          <w:smallCaps w:val="false"/>
          <w:sz w:val="20"/>
          <w:u w:val="single"/>
          <w:shd w:fill="FFFFFF" w:val="clear"/>
        </w:rPr>
        <w:t>Subsequent Financing</w:t>
      </w:r>
      <w:r>
        <w:rPr>
          <w:rFonts w:ascii="Times New Roman;Times;Serif" w:hAnsi="Times New Roman;Times;Serif"/>
          <w:b w:val="false"/>
          <w:i w:val="false"/>
          <w:caps w:val="false"/>
          <w:smallCaps w:val="false"/>
          <w:sz w:val="20"/>
          <w:shd w:fill="FFFFFF" w:val="clear"/>
        </w:rPr>
        <w:t>”), each Purchaser shall have the right to participate in up to an amount of the Subsequent Financing equal to forty percent (40%) of the Subsequent Financing (the “</w:t>
      </w:r>
      <w:r>
        <w:rPr>
          <w:rFonts w:ascii="Times New Roman;Times;Serif" w:hAnsi="Times New Roman;Times;Serif"/>
          <w:b w:val="false"/>
          <w:i w:val="false"/>
          <w:caps w:val="false"/>
          <w:smallCaps w:val="false"/>
          <w:sz w:val="20"/>
          <w:u w:val="single"/>
          <w:shd w:fill="FFFFFF" w:val="clear"/>
        </w:rPr>
        <w:t>Participation Maximum</w:t>
      </w:r>
      <w:r>
        <w:rPr>
          <w:rFonts w:ascii="Times New Roman;Times;Serif" w:hAnsi="Times New Roman;Times;Serif"/>
          <w:b w:val="false"/>
          <w:i w:val="false"/>
          <w:caps w:val="false"/>
          <w:smallCaps w:val="false"/>
          <w:sz w:val="20"/>
          <w:shd w:fill="FFFFFF" w:val="clear"/>
        </w:rPr>
        <w:t xml:space="preserve">”) on the same terms, conditions and price provided for in the Subsequent Financing.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shd w:fill="FFFFFF" w:val="clear"/>
        </w:rPr>
        <w:t>No later than 5:00 pm (New York City time) on the date that is at least five (5) days prior to the proposed pricing date of the Subsequent Financing, the Company shall deliver to each Purchaser a written notice of the Company’s intention to effect a Subsequent Financing (a “</w:t>
      </w:r>
      <w:r>
        <w:rPr>
          <w:rFonts w:ascii="Times New Roman;Times;Serif" w:hAnsi="Times New Roman;Times;Serif"/>
          <w:b w:val="false"/>
          <w:i w:val="false"/>
          <w:caps w:val="false"/>
          <w:smallCaps w:val="false"/>
          <w:sz w:val="20"/>
          <w:u w:val="single"/>
          <w:shd w:fill="FFFFFF" w:val="clear"/>
        </w:rPr>
        <w:t>Subsequent Financing Notice</w:t>
      </w:r>
      <w:r>
        <w:rPr>
          <w:rFonts w:ascii="Times New Roman;Times;Serif" w:hAnsi="Times New Roman;Times;Serif"/>
          <w:b w:val="false"/>
          <w:i w:val="false"/>
          <w:caps w:val="false"/>
          <w:smallCaps w:val="false"/>
          <w:sz w:val="20"/>
          <w:shd w:fill="FFFFFF" w:val="clear"/>
        </w:rPr>
        <w:t xml:space="preserve">”), which notice shall describe in reasonable detail the proposed terms of such Subsequent Financing, the amount of proceeds intended to be raised thereunder, the proposed pricing date of such Subsequent Financing, and the Person or Persons through or with whom such Subsequent Financing is proposed to be effected and shall include a term sheet and transaction documents relating thereto as an attachment.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30</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shd w:fill="FFFFFF" w:val="clear"/>
        </w:rPr>
        <w:t>Any Purchaser desiring to participate in such Subsequent Financing must provide written notice to the Company by 5:00 pm (New York City time) on the fourth (4</w:t>
      </w:r>
      <w:r>
        <w:rPr>
          <w:rFonts w:ascii="Times New Roman;Times;Serif" w:hAnsi="Times New Roman;Times;Serif"/>
          <w:b w:val="false"/>
          <w:i w:val="false"/>
          <w:caps w:val="false"/>
          <w:smallCaps w:val="false"/>
          <w:position w:val="7"/>
          <w:sz w:val="16"/>
          <w:sz w:val="20"/>
          <w:shd w:fill="FFFFFF" w:val="clear"/>
        </w:rPr>
        <w:t>th</w:t>
      </w:r>
      <w:r>
        <w:rPr>
          <w:rFonts w:ascii="Times New Roman;Times;Serif" w:hAnsi="Times New Roman;Times;Serif"/>
          <w:b w:val="false"/>
          <w:i w:val="false"/>
          <w:caps w:val="false"/>
          <w:smallCaps w:val="false"/>
          <w:sz w:val="20"/>
          <w:shd w:fill="FFFFFF" w:val="clear"/>
        </w:rPr>
        <w:t>) day following the date on which the Subsequent Financing Notice is delivered to such Purchaser (the “</w:t>
      </w:r>
      <w:r>
        <w:rPr>
          <w:rFonts w:ascii="Times New Roman;Times;Serif" w:hAnsi="Times New Roman;Times;Serif"/>
          <w:b w:val="false"/>
          <w:i w:val="false"/>
          <w:caps w:val="false"/>
          <w:smallCaps w:val="false"/>
          <w:sz w:val="20"/>
          <w:u w:val="single"/>
          <w:shd w:fill="FFFFFF" w:val="clear"/>
        </w:rPr>
        <w:t>Notice Termination Time</w:t>
      </w:r>
      <w:r>
        <w:rPr>
          <w:rFonts w:ascii="Times New Roman;Times;Serif" w:hAnsi="Times New Roman;Times;Serif"/>
          <w:b w:val="false"/>
          <w:i w:val="false"/>
          <w:caps w:val="false"/>
          <w:smallCaps w:val="false"/>
          <w:sz w:val="20"/>
          <w:shd w:fill="FFFFFF" w:val="clear"/>
        </w:rPr>
        <w:t>”) that such Purchaser is willing to participate in the Subsequent Financing, the amount of such Purchaser’s participation, and representing and warranting that such Purchaser has such funds ready, willing, and available for investment on the terms set forth in the Subsequent Financing Notice. If the Company receives no such notice from a Purchaser as of such Notice Termination Time, such Purchaser shall be deemed to have notified the Company that it does not elect to participate in such Subsequent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shd w:fill="FFFFFF" w:val="clear"/>
        </w:rPr>
        <w:t>If, by the Notice Termination Time, notifications by the Purchasers of their willingness to participate in the Subsequent Financing (or to cause their designees to participate) is, in the aggregate, less than the total amount of the Subsequent Financing, then the Company may effect the remaining portion of such Subsequent Financing on the terms and with the Persons set forth in the Subsequent Financing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shd w:fill="FFFFFF" w:val="clear"/>
        </w:rPr>
        <w:t>If, by the Notice Termination Time, the Company receives responses to a Subsequent Financing Notice from Purchasers seeking to purchase more than the aggregate amount of the Participation Maximum, each such Purchaser shall have the right to purchase its Pro Rata Portion (as defined below) of the Participation Maximum. “</w:t>
      </w:r>
      <w:r>
        <w:rPr>
          <w:rFonts w:ascii="Times New Roman;Times;Serif" w:hAnsi="Times New Roman;Times;Serif"/>
          <w:b w:val="false"/>
          <w:i w:val="false"/>
          <w:caps w:val="false"/>
          <w:smallCaps w:val="false"/>
          <w:sz w:val="20"/>
          <w:u w:val="single"/>
          <w:shd w:fill="FFFFFF" w:val="clear"/>
        </w:rPr>
        <w:t>Pro Rata Portion</w:t>
      </w:r>
      <w:r>
        <w:rPr>
          <w:rFonts w:ascii="Times New Roman;Times;Serif" w:hAnsi="Times New Roman;Times;Serif"/>
          <w:b w:val="false"/>
          <w:i w:val="false"/>
          <w:caps w:val="false"/>
          <w:smallCaps w:val="false"/>
          <w:sz w:val="20"/>
          <w:shd w:fill="FFFFFF" w:val="clear"/>
        </w:rPr>
        <w:t>” means the ratio of (x) the Subscription Amount of Instruments purchased on the Closing Date by a Purchaser participating under this Section 4.12 and (y) the sum of the aggregate Subscription Amounts of Instruments purchased on the Closing Date by all Purchasers participating under this Section 4.12.</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shd w:fill="FFFFFF" w:val="clear"/>
        </w:rPr>
        <w:t>The Company must provide the Purchasers with a second Subsequent Financing Notice, and the Purchasers will again have the right of participation set forth above in this Section 4.12, if the definitive agreement related to the initial Subsequent Financing Notice is not entered into for any reason on the terms set forth in such Subsequent Financing Notice within five (5) days after the date of delivery of the initial Subsequent Financing Notice.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shd w:fill="FFFFFF" w:val="clear"/>
        </w:rPr>
        <w:t>The Company and each Purchaser agree that, if any Purchaser elects to participate in the Subsequent Financing, the transaction documents related to the Subsequent Financing shall not include any term or provision that, directly or indirectly, will, or is intended to, exclude one or more of the Purchasers from participating in a Subsequent Financing, including, but not limited to, provisions whereby such Purchaser shall be required to agree to any restrictions on trading as to any securities of the Company or be required to consent to any amendment to or termination of, or grant any waiver, release or the like under or in connection with, this Agreement, without the prior written consent of such Purchaser. In addition, the Company and each Purchaser agree that, in connection with a Subsequent Financing, the transaction documents related to the Subsequent Financing shall include a requirement for the Company to issue a widely disseminated press release by 9:30 am (New York City time) on the Trading Day of execution of the transaction documents in such Subsequent Financing (or, if the date of execution is not a Trading Day, on the immediately following Trading Day) that discloses the material terms of the transactions contemplated by the transaction documents in such Subsequent Financing.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31</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shd w:fill="FFFFFF" w:val="clear"/>
        </w:rPr>
        <w:t>Notwithstanding anything to the contrary in this Section 4.12 and unless otherwise agreed to by such Purchaser, the Company shall either confirm in writing to such Purchaser that the transaction with respect to the Subsequent Financing has been abandoned or shall publicly disclose its intention to issue the securities in the Subsequent Financing, in either case in such a manner such that such Purchaser will not be in possession of any material, non-public information, by 9:30 am (New York City time) on the sixth (6th) day following the date of delivery of the Subsequent Financing Notice. If by 9:30 am (New York City time) on such sixth (6th) Trading Day, no public disclosure regarding a transaction with respect to the Subsequent Financing has been made, and no notice regarding the abandonment of such transaction has been received by such Purchaser, such transaction shall be deemed to have been abandoned and such Purchaser shall not be deemed to be in possession of any material, non-public information with respect to the Company or any of its Subsidiaries.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shd w:fill="FFFFFF" w:val="clear"/>
        </w:rPr>
        <w:t>Notwithstanding the foregoing, this Section 4.12 shall not apply in respect of an Exempt Issuance.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4.13 </w:t>
      </w:r>
      <w:r>
        <w:rPr>
          <w:rFonts w:ascii="Times New Roman;Times;Serif" w:hAnsi="Times New Roman;Times;Serif"/>
          <w:b w:val="false"/>
          <w:i w:val="false"/>
          <w:caps w:val="false"/>
          <w:smallCaps w:val="false"/>
          <w:sz w:val="20"/>
          <w:u w:val="single"/>
        </w:rPr>
        <w:t>Subsequent Equity Sales; Variable Rate Transactions</w:t>
      </w:r>
      <w:r>
        <w:rPr>
          <w:rFonts w:ascii="Times New Roman;Times;Serif" w:hAnsi="Times New Roman;Times;Serif"/>
          <w:b w:val="false"/>
          <w:i w:val="false"/>
          <w:caps w:val="false"/>
          <w:smallCaps w:val="false"/>
          <w:sz w:val="20"/>
        </w:rPr>
        <w: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From the date hereof until the Release Date without the consent of the Required holders, neither the Company nor any Subsidiary shall (A) directly or indirectly, file any registration statement or any amendment or supplement thereto with the Commission other than pursuant to the Registration Rights Agreement and registration statements on Form S-8, except as provided in the Registration Rights Agreement, (B) conduct a Subsequent Financing, or (C) be party to any solicitations, negotiations or discussions with regard to the foregoing.</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From the date hereof until the date that is ninety (90) days following such date as no Purchaser no longer holds any of the Notes, the Company shall be prohibited from effecting or entering into an agreement to effect any issuance by the Company or any of its Subsidiaries of Common Stock or Common Stock Equivalents (or a combination of units thereof) involving a Variable Rate Transaction. “</w:t>
      </w:r>
      <w:r>
        <w:rPr>
          <w:rFonts w:ascii="Times New Roman;Times;Serif" w:hAnsi="Times New Roman;Times;Serif"/>
          <w:b w:val="false"/>
          <w:i w:val="false"/>
          <w:caps w:val="false"/>
          <w:smallCaps w:val="false"/>
          <w:sz w:val="20"/>
          <w:u w:val="single"/>
        </w:rPr>
        <w:t>Variable Rate Transaction</w:t>
      </w:r>
      <w:r>
        <w:rPr>
          <w:rFonts w:ascii="Times New Roman;Times;Serif" w:hAnsi="Times New Roman;Times;Serif"/>
          <w:b w:val="false"/>
          <w:i w:val="false"/>
          <w:caps w:val="false"/>
          <w:smallCaps w:val="false"/>
          <w:sz w:val="20"/>
        </w:rPr>
        <w:t>” means a transaction in which the Company (i) issues or sells any debt or equity securities that are convertible into, exchangeable or exercisable for, or include the right to receive, additional shares of Common Stock either (A) at a conversion price, exercise price or exchange rate or other price that is based upon, and/or varies with, the trading prices of or quotations for the shares of Common Stock at any time after the initial issuance of such debt or equity securities or (B) with a conversion, exercise or exchange price that is subject to being reset at some future date after the initial issuance of such debt or equity security or upon the occurrence of specified or contingent events directly or indirectly related to the business of the Company or the market for the Common Stock or (ii) enters into, or effects a transaction under, any agreement, including, but not limited to, an equity line of credit or an “at-the-market offering”, whereby the Company may issue securities at a future determined price. Any Purchaser shall be entitled to obtain injunctive relief against the Company to preclude any such issuance, which remedy shall be in addition to any right to collect damages.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the foregoing, this Section 4.13 shall not apply in respect of an Exempt Issuance, except that no Variable Rate Transaction shall be an Exempt Issuance.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32</w:t>
      </w:r>
    </w:p>
    <w:p>
      <w:pPr>
        <w:pStyle w:val="TextBody"/>
        <w:bidi w:val="0"/>
        <w:spacing w:before="0" w:after="0"/>
        <w:ind w:left="0" w:right="0" w:hanging="0"/>
        <w:jc w:val="left"/>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Further to the foregoing, and for the avoidance of doubt nothing in this Agreement or in this Section 4.13 shall be deemed to prohibit any purchases under the Common Stock Purchase Agreement, dated as of December 4, 2025, between the Company, House of Doge. and Yorkville, as amended, restated or supplemented from time to time, or conversions under that certain Convertible Promissory Note, dated as of December 4, 2025, in the initial principal amount of up to $11,000,000.00, issued by the Company and House of Doge to Yorkville, as amended, restated or supplemented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4.14 </w:t>
      </w:r>
      <w:r>
        <w:rPr>
          <w:rFonts w:ascii="Times New Roman;Times;Serif" w:hAnsi="Times New Roman;Times;Serif"/>
          <w:b w:val="false"/>
          <w:i w:val="false"/>
          <w:caps w:val="false"/>
          <w:smallCaps w:val="false"/>
          <w:sz w:val="20"/>
          <w:u w:val="single"/>
        </w:rPr>
        <w:t>Equal Treatment of Purchasers</w:t>
      </w:r>
      <w:r>
        <w:rPr>
          <w:rFonts w:ascii="Times New Roman;Times;Serif" w:hAnsi="Times New Roman;Times;Serif"/>
          <w:b w:val="false"/>
          <w:i w:val="false"/>
          <w:caps w:val="false"/>
          <w:smallCaps w:val="false"/>
          <w:sz w:val="20"/>
        </w:rPr>
        <w:t>. No consideration (including any modification of any Transaction Document but excluding the reimbursement of legal fees) shall be offered or paid to any Person to amend or consent to a waiver or modification of any provision of the Transaction Documents unless the same consideration is also offered to all of the parties to such Transaction Documents. Further, the Company shall not make any payment of principal or interest on the Notes in amounts which are disproportionate to the respective principal amounts outstanding on the Notes at any applicable time. For clarification purposes, this provision constitutes a separate right granted to each Purchaser by the Company and negotiated separately by each Purchaser, and is intended for the Company to treat the Purchasers as a class and shall not in any way be construed as the Purchasers acting in concert or as a group with respect to the purchase, disposition or voting of Instruments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4.15 </w:t>
      </w:r>
      <w:r>
        <w:rPr>
          <w:rFonts w:ascii="Times New Roman;Times;Serif" w:hAnsi="Times New Roman;Times;Serif"/>
          <w:b w:val="false"/>
          <w:i w:val="false"/>
          <w:caps w:val="false"/>
          <w:smallCaps w:val="false"/>
          <w:sz w:val="20"/>
          <w:u w:val="single"/>
        </w:rPr>
        <w:t>Certain Transactions and Confidentiality</w:t>
      </w:r>
      <w:r>
        <w:rPr>
          <w:rFonts w:ascii="Times New Roman;Times;Serif" w:hAnsi="Times New Roman;Times;Serif"/>
          <w:b w:val="false"/>
          <w:i w:val="false"/>
          <w:caps w:val="false"/>
          <w:smallCaps w:val="false"/>
          <w:sz w:val="20"/>
        </w:rPr>
        <w:t>. Each Purchaser, severally and not jointly with the other Purchasers, covenants that neither it, nor any Affiliate acting on its behalf or pursuant to any understanding with it will execute any purchases or sales, including Short Sales, of any of the Company’s securities during the period commencing with the execution of this Agreement and ending at such time that the transactions contemplated by this Agreement are first publicly announced pursuant to the initial press release as described in Section 4.6. Each Purchaser, severally and not jointly with the other Purchasers, covenants that until such time as the transactions contemplated by this Agreement are publicly disclosed by the Company pursuant to the initial press release as described in Section 4.6, such Purchaser will maintain the confidentiality of the existence and terms of this transaction and the information included in the Disclosure Schedules (other than as disclosed to its legal and other representatives). Notwithstanding the foregoing, and notwithstanding anything contained in this Agreement to the contrary, the Company expressly acknowledges and agrees that (i) no Purchaser makes any representation, warranty or covenant hereby that it will not engage in effecting transactions in any securities of the Company after the time that the transactions contemplated by this Agreement are first publicly announced pursuant to the initial press release as described in Section 4.6, (ii) no Purchaser shall be restricted or prohibited from effecting any transactions in any securities of the Company in accordance with applicable securities laws from and after the time that the transactions contemplated by this Agreement are first publicly announced pursuant to the initial press release as described in Section 4.6 and (iii) no Purchaser shall have any duty of confidentiality or duty not to trade in the securities of the Company to the Company, any of its Subsidiaries, or any of their respective officers, directors, employees, Affiliates or agent, after the issuance of the initial press release as described in Section 4.6. Notwithstanding the foregoing, in the case of a Purchaser that is a multi-managed investment vehicle whereby separate portfolio managers manage separate portions of such Purchaser’s assets and the portfolio managers have no direct knowledge of the investment decisions made by the portfolio managers managing other portions of such Purchaser’s assets, the covenant set forth above shall only apply with respect to the portion of assets managed by the portfolio manager that made the investment decision to purchase the Instruments covered by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4.16 </w:t>
      </w:r>
      <w:r>
        <w:rPr>
          <w:rFonts w:ascii="Times New Roman;Times;Serif" w:hAnsi="Times New Roman;Times;Serif"/>
          <w:b w:val="false"/>
          <w:i w:val="false"/>
          <w:caps w:val="false"/>
          <w:smallCaps w:val="false"/>
          <w:sz w:val="20"/>
          <w:u w:val="single"/>
        </w:rPr>
        <w:t>Form D; Blue Sky Filings</w:t>
      </w:r>
      <w:r>
        <w:rPr>
          <w:rFonts w:ascii="Times New Roman;Times;Serif" w:hAnsi="Times New Roman;Times;Serif"/>
          <w:b w:val="false"/>
          <w:i w:val="false"/>
          <w:caps w:val="false"/>
          <w:smallCaps w:val="false"/>
          <w:sz w:val="20"/>
        </w:rPr>
        <w:t>. The Company agrees to timely file a Form D with respect to the Instruments as required under Regulation D and to provide a copy thereof, promptly upon request of any Purchaser. The Company shall take such action as the Company shall reasonably determine is necessary in order to obtain an exemption for, or to qualify the Instruments for, sale to the Purchasers at the Closing under applicable securities or “Blue Sky” laws of the states of the United States, and shall provide evidence of such actions promptly upon request of any Purchaser.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33</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4.17 </w:t>
      </w:r>
      <w:r>
        <w:rPr>
          <w:rFonts w:ascii="Times New Roman;Times;Serif" w:hAnsi="Times New Roman;Times;Serif"/>
          <w:b w:val="false"/>
          <w:i w:val="false"/>
          <w:caps w:val="false"/>
          <w:smallCaps w:val="false"/>
          <w:sz w:val="20"/>
          <w:u w:val="single"/>
        </w:rPr>
        <w:t>Capital Changes</w:t>
      </w:r>
      <w:r>
        <w:rPr>
          <w:rFonts w:ascii="Times New Roman;Times;Serif" w:hAnsi="Times New Roman;Times;Serif"/>
          <w:b w:val="false"/>
          <w:i w:val="false"/>
          <w:caps w:val="false"/>
          <w:smallCaps w:val="false"/>
          <w:sz w:val="20"/>
        </w:rPr>
        <w:t>. Until the one year anniversary of the Effective Date, the Company shall not undertake a reverse or forward stock split or reclassification of the Common Stock without the prior written consent of the Required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4.18 </w:t>
      </w:r>
      <w:r>
        <w:rPr>
          <w:rFonts w:ascii="Times New Roman;Times;Serif" w:hAnsi="Times New Roman;Times;Serif"/>
          <w:b w:val="false"/>
          <w:i w:val="false"/>
          <w:caps w:val="false"/>
          <w:smallCaps w:val="false"/>
          <w:sz w:val="20"/>
          <w:u w:val="single"/>
        </w:rPr>
        <w:t>Lock-Up Agreements</w:t>
      </w:r>
      <w:r>
        <w:rPr>
          <w:rFonts w:ascii="Times New Roman;Times;Serif" w:hAnsi="Times New Roman;Times;Serif"/>
          <w:b w:val="false"/>
          <w:i w:val="false"/>
          <w:caps w:val="false"/>
          <w:smallCaps w:val="false"/>
          <w:sz w:val="20"/>
        </w:rPr>
        <w:t>. The Company shall not amend, modify, waive or terminate any provision of any of the Lock-Up Agreements except to extend the term of the lock-up period and shall enforce the provisions of each Lock-Up Agreement in accordance with its terms. If any party to a Lock-Up Agreement breaches any provision of a Lock-Up Agreement, the Company shall promptly use its best efforts to seek specific performance of the terms of such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V.</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MISCELLANEOUS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This Agreement may be terminated by any Purchaser, as to such Purchaser’s obligations hereunder only and without any effect whatsoever on the obligations between the Company and the other Purchasers, by written notice to the other parties, if the Closing has not been consummated on or before the fifth (5</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Trading Day following the date 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such termination will affect the right of any party to sue for any breach by any other party (or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5.2 </w:t>
      </w:r>
      <w:r>
        <w:rPr>
          <w:rFonts w:ascii="Times New Roman;Times;Serif" w:hAnsi="Times New Roman;Times;Serif"/>
          <w:b w:val="false"/>
          <w:i w:val="false"/>
          <w:caps w:val="false"/>
          <w:smallCaps w:val="false"/>
          <w:sz w:val="20"/>
          <w:u w:val="single"/>
        </w:rPr>
        <w:t>Fees and Expenses</w:t>
      </w:r>
      <w:r>
        <w:rPr>
          <w:rFonts w:ascii="Times New Roman;Times;Serif" w:hAnsi="Times New Roman;Times;Serif"/>
          <w:b w:val="false"/>
          <w:i w:val="false"/>
          <w:caps w:val="false"/>
          <w:smallCaps w:val="false"/>
          <w:sz w:val="20"/>
        </w:rPr>
        <w:t>. The Company shall reimburse the Purchasers or their designee(s) for all documented and evidenced costs and expenses up to $60,000 (in addition to any other amounts paid to any Purchaser or its counsel prior to the date of this Agreement) incurred in connection with the transactions contemplated by the Transaction Documents (including all legal fees and disbursements in connection therewith, documentation and implementation of the transactions contemplated by the Transaction Documents and due diligence in connection therewith), which amount may be withheld by such Purchaser from its Subscription Amount at the Closing. The Company shall be responsible for the payment of any placement agent’s fees, financial advisory fees or broker’s commissions (other than for Persons engaged by any Purchaser) relating to or arising out of the transactions contemplated hereby. The Company shall pay, and hold each Purchaser harmless against, any liability, loss or expense (including, without limitation, reasonable attorney’s fees and out-of-pocket expenses) arising in connection with any claim relating to any such payment. Except as expressly set forth in the Transaction Documents to the contrary, each party shall pay the fees and expenses of its advisers, counsel, accountants and other experts, if any, and all other expenses incurred by such party incident to the negotiation, preparation, execution, delivery and performance of this Agreement. The Company shall pay all Transfer Agent fees (including, without limitation, any fees required for same-day processing of any instruction letter delivered by the Company and any conversion or exercise notice delivered by a Purchaser), stamp taxes and other taxes and duties levied in connection with the delivery of any Instruments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5.3 </w:t>
      </w:r>
      <w:r>
        <w:rPr>
          <w:rFonts w:ascii="Times New Roman;Times;Serif" w:hAnsi="Times New Roman;Times;Serif"/>
          <w:b w:val="false"/>
          <w:i w:val="false"/>
          <w:caps w:val="false"/>
          <w:smallCaps w:val="false"/>
          <w:sz w:val="20"/>
          <w:u w:val="single"/>
        </w:rPr>
        <w:t>Entire Agreement</w:t>
      </w:r>
      <w:r>
        <w:rPr>
          <w:rFonts w:ascii="Times New Roman;Times;Serif" w:hAnsi="Times New Roman;Times;Serif"/>
          <w:b w:val="false"/>
          <w:i w:val="false"/>
          <w:caps w:val="false"/>
          <w:smallCaps w:val="false"/>
          <w:sz w:val="20"/>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in writing and shall be deemed given and effective on the earliest of: (a) the time of transmission, if such notice or communication is delivered via facsimile at the facsimile number or email attachment at the email address as set forth on the signature pages attached hereto at or prior to 5:30 p.m. (New York City time) on a Trading Day, (b) the next Trading Day after the time of transmission, if such notice or communication is delivered via facsimile at the facsimile number or email attachment as set forth on the signature pages attached hereto on a day that is not a Trading Day or later than 5:30 p.m. (New York City time) on any Trading Day, (c) the second (2</w:t>
      </w:r>
      <w:r>
        <w:rPr>
          <w:rFonts w:ascii="Times New Roman;Times;Serif" w:hAnsi="Times New Roman;Times;Serif"/>
          <w:b w:val="false"/>
          <w:i w:val="false"/>
          <w:caps w:val="false"/>
          <w:smallCaps w:val="false"/>
          <w:position w:val="7"/>
          <w:sz w:val="16"/>
          <w:sz w:val="20"/>
        </w:rPr>
        <w:t>nd</w:t>
      </w:r>
      <w:r>
        <w:rPr>
          <w:rFonts w:ascii="Times New Roman;Times;Serif" w:hAnsi="Times New Roman;Times;Serif"/>
          <w:b w:val="false"/>
          <w:i w:val="false"/>
          <w:caps w:val="false"/>
          <w:smallCaps w:val="false"/>
          <w:sz w:val="20"/>
        </w:rPr>
        <w:t>) Trading Day following the date of mailing, if sent by U.S. nationally recognized overnight courier service or (d) upon actual receipt by the party to whom such notice is required to be given. The address for such notices and communications shall be as set forth on the signature pages attached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5.5 </w:t>
      </w:r>
      <w:r>
        <w:rPr>
          <w:rFonts w:ascii="Times New Roman;Times;Serif" w:hAnsi="Times New Roman;Times;Serif"/>
          <w:b w:val="false"/>
          <w:i w:val="false"/>
          <w:caps w:val="false"/>
          <w:smallCaps w:val="false"/>
          <w:sz w:val="20"/>
          <w:u w:val="single"/>
        </w:rPr>
        <w:t>Amendments; Waivers</w:t>
      </w:r>
      <w:r>
        <w:rPr>
          <w:rFonts w:ascii="Times New Roman;Times;Serif" w:hAnsi="Times New Roman;Times;Serif"/>
          <w:b w:val="false"/>
          <w:i w:val="false"/>
          <w:caps w:val="false"/>
          <w:smallCaps w:val="false"/>
          <w:sz w:val="20"/>
        </w:rPr>
        <w:t>. No provision of this Agreement may be waived, modified, supplemented or amended except in a written instrument signed, in the case of an amendment, by the Company and the Required Holders (or, prior to the Closing, the Company and each Purchaser) or, in the case of a waiver, by the party against whom enforcement of any such waived provision is sought, provided that if any amendment, modification or waiver disproportionately and adversely impacts a Purchaser (or group of Purchasers), the consent of such disproportionately impacted Purchaser (or group of Purchasers) shall also be required.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 Any amendment effected in accordance with this Section 5.5 shall be binding upon each Purchaser and holder of Instruments and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herein are for convenience only, do not constitute a part of this Agreement and shall not be deemed to limit or affect any of the provisions 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be binding upon and inure to the benefit of the parties and their successors and permitted assigns. The Company may not assign this Agreement or any rights or obligations hereunder without the prior written consent of each Purchaser (other than by merger). Any Purchaser may assign any or all of its rights under this Agreement to any Person to whom such Purchaser assigns or transfers any Instruments, provided that such transferee agrees in writing to be bound, with respect to the transferred Instruments, by the provisions of the Transaction Documents that apply to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5.8 </w:t>
      </w:r>
      <w:r>
        <w:rPr>
          <w:rFonts w:ascii="Times New Roman;Times;Serif" w:hAnsi="Times New Roman;Times;Serif"/>
          <w:b w:val="false"/>
          <w:i w:val="false"/>
          <w:caps w:val="false"/>
          <w:smallCaps w:val="false"/>
          <w:sz w:val="20"/>
          <w:u w:val="single"/>
        </w:rPr>
        <w:t>No Third Party Beneficiaries</w:t>
      </w:r>
      <w:r>
        <w:rPr>
          <w:rFonts w:ascii="Times New Roman;Times;Serif" w:hAnsi="Times New Roman;Times;Serif"/>
          <w:b w:val="false"/>
          <w:i w:val="false"/>
          <w:caps w:val="false"/>
          <w:smallCaps w:val="false"/>
          <w:sz w:val="20"/>
        </w:rPr>
        <w:t>. This Agreement is intended for the benefit of the parties hereto and their respective successors and permitted assigns and is not for the benefit of, nor may any provision hereof be enforced by, any other Person, except as otherwise set forth in Section 4.10 and this Section 5.8.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35</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the Transaction Documents shall be governed by and construed and enforced in accordance with the internal laws of the State of Delaware, without regard to the principles of conflicts of law thereof. Each party agrees that all legal Proceedings concerning the interpretations, enforcement and defense of the transactions contemplated by this Agreement and any other Transaction Documents (whether brought against a party hereto or its respective affiliates, directors, officers, shareholders, partners, members, employees or agents) shall be commenced exclusively in the Court of Chancery of the State of Delaware (or, if the Court of Chancery lacks subject matter jurisdiction, the Superior Court of the State of Delaware) or, if federal jurisdiction exists, the United States District Court for the District of Delaware. Each party hereby irrevocably submits to the exclusive jurisdiction of such courts for the adjudication of any dispute hereunder or in connection herewith or with any transaction contemplated hereby or discussed herein (including with respect to the enforcement of any of the Transaction Documents), and hereby irrevocably waives, and agrees not to assert in any Action or Proceeding, any claim that it is not personally subject to the jurisdiction of any such court, that such Action or Proceeding is improper or is an inconvenient venue for such Proceeding. Each party hereby irrevocably waives personal service of process and consents to process being served in any such Action or Proceeding by mailing a copy thereof via registered or certified mail or overnight delivery (with evidence of delivery) to such party at the address in effect for notices to it under this Agreement and agrees that such service shall constitute good and sufficient service of process and notice thereof. Nothing contained herein shall be deemed to limit in any way any right to serve process in any other manner permitted by applicable law, including service pursuant to the Delaware Code. If any party shall commence an Action or Proceeding to enforce any provisions of the Transaction Documents, then, in addition to the obligations of the Company under Section 4.10, the prevailing party in such Action or Proceeding shall be reimbursed by the non-prevailing party for its reasonable attorneys’ fees and other costs and expenses incurred with the investigation, preparation and prosecution of such Action or Proceeding.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5.10 </w:t>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The representations and warranties contained herein shall survive the Closing and the delivery of the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5.11 </w:t>
      </w:r>
      <w:r>
        <w:rPr>
          <w:rFonts w:ascii="Times New Roman;Times;Serif" w:hAnsi="Times New Roman;Times;Serif"/>
          <w:b w:val="false"/>
          <w:i w:val="false"/>
          <w:caps w:val="false"/>
          <w:smallCaps w:val="false"/>
          <w:sz w:val="20"/>
          <w:u w:val="single"/>
        </w:rPr>
        <w:t>Execution</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5.13 </w:t>
      </w:r>
      <w:r>
        <w:rPr>
          <w:rFonts w:ascii="Times New Roman;Times;Serif" w:hAnsi="Times New Roman;Times;Serif"/>
          <w:b w:val="false"/>
          <w:i w:val="false"/>
          <w:caps w:val="false"/>
          <w:smallCaps w:val="false"/>
          <w:sz w:val="20"/>
          <w:u w:val="single"/>
        </w:rPr>
        <w:t>Rescission and Withdrawal Right</w:t>
      </w:r>
      <w:r>
        <w:rPr>
          <w:rFonts w:ascii="Times New Roman;Times;Serif" w:hAnsi="Times New Roman;Times;Serif"/>
          <w:b w:val="false"/>
          <w:i w:val="false"/>
          <w:caps w:val="false"/>
          <w:smallCaps w:val="false"/>
          <w:sz w:val="20"/>
        </w:rPr>
        <w:t>. Notwithstanding anything to the contrary contained in (and without limiting any similar provisions of) any of the other Transaction Documents, whenever any Purchaser exercises a right, election, demand or option under a Transaction Document and the Company does not timely perform its related obligations within the periods therein provided, then such Purchaser may rescind or withdraw, in its sole discretion from time to time upon written notice to the Company, any relevant notice, demand or election in whole or in part without prejudice to its future actions and rights; provided, however, that, in the case of a rescission of a conversion of a Note, the applicable Purchaser shall be required to return any shares of Common Stock subject to any such rescinded conversion notice concurrently with the restoration of such Purchaser’s right to convert under such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36</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5.14 </w:t>
      </w:r>
      <w:r>
        <w:rPr>
          <w:rFonts w:ascii="Times New Roman;Times;Serif" w:hAnsi="Times New Roman;Times;Serif"/>
          <w:b w:val="false"/>
          <w:i w:val="false"/>
          <w:caps w:val="false"/>
          <w:smallCaps w:val="false"/>
          <w:sz w:val="20"/>
          <w:u w:val="single"/>
        </w:rPr>
        <w:t>Replacement of Instruments</w:t>
      </w:r>
      <w:r>
        <w:rPr>
          <w:rFonts w:ascii="Times New Roman;Times;Serif" w:hAnsi="Times New Roman;Times;Serif"/>
          <w:b w:val="false"/>
          <w:i w:val="false"/>
          <w:caps w:val="false"/>
          <w:smallCaps w:val="false"/>
          <w:sz w:val="20"/>
        </w:rPr>
        <w:t>. If any certificate or instrument evidencing any Instruments is mutilated, lost, stolen or destroyed, the Company shall issue or cause to be issued in exchange and substitution for and upon cancellation thereof (in the case of mutilation), or in lieu of and substitution therefor, a new certificate or instrument, but only upon receipt of evidence reasonably satisfactory to the Company of such loss, theft or destruction. The applicant for a new certificate or instrument under such circumstances shall also pay any reasonable third-party costs (including customary indemnity) associated with the issuance of such replacement Instruments.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5.15 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addition to being entitled to exercise all rights provided herein or granted by law, including recovery of damages, each of the Purchasers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5.16 </w:t>
      </w:r>
      <w:r>
        <w:rPr>
          <w:rFonts w:ascii="Times New Roman;Times;Serif" w:hAnsi="Times New Roman;Times;Serif"/>
          <w:b w:val="false"/>
          <w:i w:val="false"/>
          <w:caps w:val="false"/>
          <w:smallCaps w:val="false"/>
          <w:sz w:val="20"/>
          <w:u w:val="single"/>
        </w:rPr>
        <w:t>Payment Set Aside</w:t>
      </w:r>
      <w:r>
        <w:rPr>
          <w:rFonts w:ascii="Times New Roman;Times;Serif" w:hAnsi="Times New Roman;Times;Serif"/>
          <w:b w:val="false"/>
          <w:i w:val="false"/>
          <w:caps w:val="false"/>
          <w:smallCaps w:val="false"/>
          <w:sz w:val="20"/>
        </w:rPr>
        <w:t>. To the extent that the Company makes a payment or payments to any Purchaser pursuant to any Transaction Document or a Purchaser enforces or exercises its rights thereunder, and such payment or payments or the proceeds of such enforcement or exercise or any part thereof are subsequently invalidated, declared to be fraudulent or preferential, set aside, recovered from, disgorged by or are required to be refunded, repaid or otherwise restored to the Company, a trustee, receiver or any other Person under any law (including, without limitation, any bankruptcy law, state or federal law, common law or equitable cause of action), then to the extent of any such restoration the obligation or part thereof originally intended to be satisfied shall be revived and continued in full force and effect as if such payment had not been made or such enforcement or setoff had not occurred.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5.17 </w:t>
      </w:r>
      <w:r>
        <w:rPr>
          <w:rFonts w:ascii="Times New Roman;Times;Serif" w:hAnsi="Times New Roman;Times;Serif"/>
          <w:b w:val="false"/>
          <w:i w:val="false"/>
          <w:caps w:val="false"/>
          <w:smallCaps w:val="false"/>
          <w:sz w:val="20"/>
          <w:u w:val="single"/>
        </w:rPr>
        <w:t>Usury</w:t>
      </w:r>
      <w:r>
        <w:rPr>
          <w:rFonts w:ascii="Times New Roman;Times;Serif" w:hAnsi="Times New Roman;Times;Serif"/>
          <w:b w:val="false"/>
          <w:i w:val="false"/>
          <w:caps w:val="false"/>
          <w:smallCaps w:val="false"/>
          <w:sz w:val="20"/>
        </w:rPr>
        <w:t>. To the extent it may lawfully do so, the Company hereby agrees not to insist upon or plead or in any manner whatsoever claim, and will resist any and all efforts to be compelled to take the benefit or advantage of, usury laws wherever enacted, now or at any time hereafter in force, in connection with any Action or Proceeding that may be brought by any Purchaser in order to enforce any right or remedy under any Transaction Document. Notwithstanding any provision to the contrary contained in any Transaction Document, it is expressly agreed and provided that the total liability of the Company under the Transaction Documents for payments in the nature of interest shall not exceed the maximum lawful rate authorized under applicable law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and, without limiting the foregoing, in no event shall any rate of interest or default interest, or both of them, when aggregated with any other sums in the nature of interest that the Company may be obligated to pay under the Transaction Documents exceed such Maximum Rate. It is agreed that if the maximum contract rate of interest allowed by law and applicable to the Transaction Documents is increased or decreased by statute or any official governmental action subsequent to the date hereof, the new maximum contract rate of interest allowed by law will be the Maximum Rate applicable to the Transaction Documents from the effective date thereof forward, unless such application is precluded by applicable law. If under any circumstances whatsoever, interest in excess of the Maximum Rate is paid by the Company to any Purchaser with respect to indebtedness evidenced by the Transaction Documents, such excess shall be applied by such Purchaser to the unpaid principal balance of any such indebtedness or be refunded to the Company, the manner of handling such excess to be at such Purchaser’s election.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37</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5.18 </w:t>
      </w:r>
      <w:r>
        <w:rPr>
          <w:rFonts w:ascii="Times New Roman;Times;Serif" w:hAnsi="Times New Roman;Times;Serif"/>
          <w:b w:val="false"/>
          <w:i w:val="false"/>
          <w:caps w:val="false"/>
          <w:smallCaps w:val="false"/>
          <w:sz w:val="20"/>
          <w:u w:val="single"/>
        </w:rPr>
        <w:t>Independent Nature of Purchasers’ Obligations and Rights</w:t>
      </w:r>
      <w:r>
        <w:rPr>
          <w:rFonts w:ascii="Times New Roman;Times;Serif" w:hAnsi="Times New Roman;Times;Serif"/>
          <w:b w:val="false"/>
          <w:i w:val="false"/>
          <w:caps w:val="false"/>
          <w:smallCaps w:val="false"/>
          <w:sz w:val="20"/>
        </w:rPr>
        <w:t>. The obligations of each Purchaser under any Transaction Document are several and not joint with the obligations of any other Purchaser, and no Purchaser shall be responsible in any way for the performance or non-performance of the obligations of any other Purchaser under any Transaction Document. Nothing contained herein or in any other Transaction Document, and no action taken by any Purchaser pursuant hereto or thereto, shall be deemed to constitute the Purchasers as a partnership, an association, a joint venture or any other kind of entity, or create a presumption that the Purchasers are in any way acting in concert or as a group with respect to such obligations or the transactions contemplated by the Transaction Documents. Each Purchaser shall be entitled to independently protect and enforce its rights, including, without limitation, the rights arising out of this Agreement or out of the other Transaction Documents, and it shall not be necessary for any other Purchaser to be joined as an additional party in any Proceeding for such purpose. Each Purchaser has been represented by its own separate legal counsel in its review and negotiation of the Transaction Documents. The Company has elected to provide all Purchasers with the same terms and Transaction Documents for the convenience of the Company and not because it was required or requested to do so by any of the Purchasers. It is expressly understood and agreed that each provision contained in this Agreement and in each other Transaction Document is between the Company and a Purchaser, solely, and not between the Company and the Purchasers collectively and not between and among the Purchasers.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5.19 </w:t>
      </w:r>
      <w:r>
        <w:rPr>
          <w:rFonts w:ascii="Times New Roman;Times;Serif" w:hAnsi="Times New Roman;Times;Serif"/>
          <w:b w:val="false"/>
          <w:i w:val="false"/>
          <w:caps w:val="false"/>
          <w:smallCaps w:val="false"/>
          <w:sz w:val="20"/>
          <w:u w:val="single"/>
        </w:rPr>
        <w:t>Liquidated Damages</w:t>
      </w:r>
      <w:r>
        <w:rPr>
          <w:rFonts w:ascii="Times New Roman;Times;Serif" w:hAnsi="Times New Roman;Times;Serif"/>
          <w:b w:val="false"/>
          <w:i w:val="false"/>
          <w:caps w:val="false"/>
          <w:smallCaps w:val="false"/>
          <w:sz w:val="20"/>
        </w:rPr>
        <w:t>. The Company’s obligations to pay any partial liquidated damages or other amounts owing under the Transaction Documents is a continuing obligation of the Company and shall not terminate until all unpaid partial liquidated damages and other amounts have been paid notwithstanding the fact that the instrument or security pursuant to which such partial liquidated damages or other amounts are due and payable shall have been canceled.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5.20 </w:t>
      </w:r>
      <w:r>
        <w:rPr>
          <w:rFonts w:ascii="Times New Roman;Times;Serif" w:hAnsi="Times New Roman;Times;Serif"/>
          <w:b w:val="false"/>
          <w:i w:val="false"/>
          <w:caps w:val="false"/>
          <w:smallCaps w:val="false"/>
          <w:sz w:val="20"/>
          <w:u w:val="single"/>
        </w:rPr>
        <w:t>Saturdays, Sundays, Holidays, etc</w:t>
      </w:r>
      <w:r>
        <w:rPr>
          <w:rFonts w:ascii="Times New Roman;Times;Serif" w:hAnsi="Times New Roman;Times;Serif"/>
          <w:b w:val="false"/>
          <w:i w:val="false"/>
          <w:caps w:val="false"/>
          <w:smallCaps w:val="false"/>
          <w:sz w:val="20"/>
        </w:rPr>
        <w:t>. If the last or appointed day for the taking of any action or the expiration of any right required or granted herein shall not be a Business Day, then such action may be taken or such right may be exercised on the next succeeding Business Day.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5.21 </w:t>
      </w:r>
      <w:r>
        <w:rPr>
          <w:rFonts w:ascii="Times New Roman;Times;Serif" w:hAnsi="Times New Roman;Times;Serif"/>
          <w:b w:val="false"/>
          <w:i w:val="false"/>
          <w:caps w:val="false"/>
          <w:smallCaps w:val="false"/>
          <w:sz w:val="20"/>
          <w:u w:val="single"/>
        </w:rPr>
        <w:t>Construction</w:t>
      </w:r>
      <w:r>
        <w:rPr>
          <w:rFonts w:ascii="Times New Roman;Times;Serif" w:hAnsi="Times New Roman;Times;Serif"/>
          <w:b w:val="false"/>
          <w:i w:val="false"/>
          <w:caps w:val="false"/>
          <w:smallCaps w:val="false"/>
          <w:sz w:val="20"/>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5.22 </w:t>
      </w:r>
      <w:r>
        <w:rPr>
          <w:rFonts w:ascii="Times New Roman;Times;Serif" w:hAnsi="Times New Roman;Times;Serif"/>
          <w:b/>
          <w:i w:val="false"/>
          <w:caps w:val="false"/>
          <w:smallCaps w:val="false"/>
          <w:sz w:val="20"/>
          <w:u w:val="single"/>
        </w:rPr>
        <w:t>WAIVER OF JURY TRIAL</w:t>
      </w:r>
      <w:r>
        <w:rPr>
          <w:rFonts w:ascii="Times New Roman;Times;Serif" w:hAnsi="Times New Roman;Times;Serif"/>
          <w:b/>
          <w:i w:val="false"/>
          <w:caps w:val="false"/>
          <w:smallCaps w:val="false"/>
          <w:sz w:val="20"/>
        </w:rPr>
        <w:t xml:space="preserve">. IN ANY ACTION, SUIT, OR PROCEEDING IN ANY JURISDICTION BROUGHT BY ANY PARTY AGAINST ANY OTHER PARTY, THE PARTIES EACH KNOWINGLY AND INTENTIONALLY, TO THE GREATEST EXTENT PERMITTED BY APPLICABLE LAW, HEREBY ABSOLUTELY, UNCONDITIONALLY, IRREVOCABLY AND EXPRESSLY WAIVES FOREVER TRIAL BY JURY.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38</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Purchase Agreement to be duly executed by their respective authorized signatories as of the date first indicated above.</w:t>
      </w:r>
    </w:p>
    <w:p>
      <w:pPr>
        <w:pStyle w:val="TextBody"/>
        <w:bidi w:val="0"/>
        <w:spacing w:before="0" w:after="0"/>
        <w:ind w:left="0" w:right="0" w:firstLine="720"/>
        <w:jc w:val="both"/>
        <w:rPr>
          <w:caps w:val="false"/>
          <w:smallCaps w:val="false"/>
        </w:rPr>
      </w:pPr>
      <w:r>
        <w:rPr>
          <w:caps w:val="false"/>
          <w:smallCaps w:val="false"/>
        </w:rPr>
        <w:t> </w:t>
      </w:r>
    </w:p>
    <w:tbl>
      <w:tblPr>
        <w:tblW w:w="6684" w:type="dxa"/>
        <w:jc w:val="left"/>
        <w:tblInd w:w="0" w:type="dxa"/>
        <w:tblLayout w:type="fixed"/>
        <w:tblCellMar>
          <w:top w:w="0" w:type="dxa"/>
          <w:left w:w="0" w:type="dxa"/>
          <w:bottom w:w="0" w:type="dxa"/>
          <w:right w:w="0" w:type="dxa"/>
        </w:tblCellMar>
      </w:tblPr>
      <w:tblGrid>
        <w:gridCol w:w="1100"/>
        <w:gridCol w:w="3629"/>
        <w:gridCol w:w="60"/>
        <w:gridCol w:w="1895"/>
      </w:tblGrid>
      <w:tr>
        <w:trPr/>
        <w:tc>
          <w:tcPr>
            <w:tcW w:w="4729" w:type="dxa"/>
            <w:gridSpan w:val="2"/>
            <w:tcBorders/>
            <w:vAlign w:val="center"/>
          </w:tcPr>
          <w:p>
            <w:pPr>
              <w:pStyle w:val="TableContents"/>
              <w:bidi w:val="0"/>
              <w:spacing w:before="0" w:after="283"/>
              <w:jc w:val="left"/>
              <w:rPr>
                <w:rFonts w:ascii="Times New Roman;Times;Serif" w:hAnsi="Times New Roman;Times;Serif"/>
                <w:b/>
                <w:caps/>
              </w:rPr>
            </w:pPr>
            <w:r>
              <w:rPr>
                <w:rFonts w:ascii="Times New Roman;Times;Serif" w:hAnsi="Times New Roman;Times;Serif"/>
                <w:b/>
                <w:caps/>
              </w:rPr>
              <w:t>Brag House Holdings, Inc.</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u w:val="single"/>
              </w:rPr>
            </w:pPr>
            <w:r>
              <w:rPr>
                <w:u w:val="single"/>
              </w:rPr>
              <w:t>Address for Notice:</w:t>
            </w:r>
          </w:p>
        </w:tc>
      </w:tr>
      <w:tr>
        <w:trPr/>
        <w:tc>
          <w:tcPr>
            <w:tcW w:w="1100" w:type="dxa"/>
            <w:tcBorders/>
            <w:vAlign w:val="center"/>
          </w:tcPr>
          <w:p>
            <w:pPr>
              <w:pStyle w:val="TableContents"/>
              <w:bidi w:val="0"/>
              <w:spacing w:before="0" w:after="283"/>
              <w:jc w:val="left"/>
              <w:rPr/>
            </w:pPr>
            <w:r>
              <w:rPr/>
              <w:t> </w:t>
            </w:r>
          </w:p>
        </w:tc>
        <w:tc>
          <w:tcPr>
            <w:tcW w:w="3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3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By:</w:t>
            </w:r>
          </w:p>
        </w:tc>
        <w:tc>
          <w:tcPr>
            <w:tcW w:w="3629" w:type="dxa"/>
            <w:tcBorders>
              <w:bottom w:val="single" w:sz="12" w:space="0" w:color="000000"/>
            </w:tcBorders>
            <w:tcMar>
              <w:bottom w:w="28" w:type="dxa"/>
            </w:tcMar>
            <w:vAlign w:val="center"/>
          </w:tcPr>
          <w:p>
            <w:pPr>
              <w:pStyle w:val="TableContents"/>
              <w:bidi w:val="0"/>
              <w:spacing w:before="0" w:after="283"/>
              <w:jc w:val="left"/>
              <w:rPr>
                <w:i/>
              </w:rPr>
            </w:pPr>
            <w:r>
              <w:rPr>
                <w:i/>
              </w:rPr>
              <w:t>/s/ Lavell Juan Malloy, II</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u w:val="single"/>
              </w:rPr>
              <w:t>Email</w:t>
            </w:r>
            <w:r>
              <w:rPr/>
              <w:t>: [***]</w:t>
            </w:r>
          </w:p>
        </w:tc>
      </w:tr>
      <w:tr>
        <w:trPr/>
        <w:tc>
          <w:tcPr>
            <w:tcW w:w="110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 </w:t>
            </w:r>
          </w:p>
        </w:tc>
        <w:tc>
          <w:tcPr>
            <w:tcW w:w="3629"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Lavell Juan Malloy, II</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rFonts w:ascii="Times New Roman;Times;Serif" w:hAnsi="Times New Roman;Times;Serif"/>
                <w:u w:val="single"/>
              </w:rPr>
            </w:pPr>
            <w:r>
              <w:rPr>
                <w:rFonts w:ascii="Times New Roman;Times;Serif" w:hAnsi="Times New Roman;Times;Serif"/>
                <w:u w:val="single"/>
              </w:rPr>
              <w:t>Fax:</w:t>
            </w:r>
          </w:p>
        </w:tc>
      </w:tr>
      <w:tr>
        <w:trPr/>
        <w:tc>
          <w:tcPr>
            <w:tcW w:w="1100" w:type="dxa"/>
            <w:tcBorders/>
            <w:vAlign w:val="center"/>
          </w:tcPr>
          <w:p>
            <w:pPr>
              <w:pStyle w:val="TableContents"/>
              <w:bidi w:val="0"/>
              <w:spacing w:before="0" w:after="283"/>
              <w:jc w:val="left"/>
              <w:rPr/>
            </w:pPr>
            <w:r>
              <w:rPr/>
              <w:t xml:space="preserve">Title: </w:t>
            </w:r>
          </w:p>
        </w:tc>
        <w:tc>
          <w:tcPr>
            <w:tcW w:w="3629" w:type="dxa"/>
            <w:tcBorders/>
            <w:vAlign w:val="center"/>
          </w:tcPr>
          <w:p>
            <w:pPr>
              <w:pStyle w:val="TableContents"/>
              <w:bidi w:val="0"/>
              <w:spacing w:before="0" w:after="283"/>
              <w:jc w:val="left"/>
              <w:rPr/>
            </w:pPr>
            <w:r>
              <w:rPr/>
              <w:t>Chief Executive Officer</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1100" w:type="dxa"/>
            <w:tcBorders/>
            <w:vAlign w:val="center"/>
          </w:tcPr>
          <w:p>
            <w:pPr>
              <w:pStyle w:val="TableContents"/>
              <w:bidi w:val="0"/>
              <w:spacing w:before="0" w:after="283"/>
              <w:jc w:val="left"/>
              <w:rPr/>
            </w:pPr>
            <w:r>
              <w:rPr/>
              <w:t> </w:t>
            </w:r>
          </w:p>
        </w:tc>
        <w:tc>
          <w:tcPr>
            <w:tcW w:w="36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r>
        <w:trPr/>
        <w:tc>
          <w:tcPr>
            <w:tcW w:w="4729" w:type="dxa"/>
            <w:gridSpan w:val="2"/>
            <w:tcBorders/>
            <w:vAlign w:val="center"/>
          </w:tcPr>
          <w:p>
            <w:pPr>
              <w:pStyle w:val="TableContents"/>
              <w:bidi w:val="0"/>
              <w:spacing w:before="0" w:after="283"/>
              <w:jc w:val="left"/>
              <w:rPr/>
            </w:pPr>
            <w:r>
              <w:rPr/>
              <w:t>With a copy to (which shall not constitute notice):</w:t>
            </w:r>
          </w:p>
        </w:tc>
        <w:tc>
          <w:tcPr>
            <w:tcW w:w="60" w:type="dxa"/>
            <w:tcBorders/>
            <w:vAlign w:val="center"/>
          </w:tcPr>
          <w:p>
            <w:pPr>
              <w:pStyle w:val="TableContents"/>
              <w:bidi w:val="0"/>
              <w:spacing w:before="0" w:after="283"/>
              <w:jc w:val="left"/>
              <w:rPr/>
            </w:pPr>
            <w:r>
              <w:rPr/>
              <w:t> </w:t>
            </w:r>
          </w:p>
        </w:tc>
        <w:tc>
          <w:tcPr>
            <w:tcW w:w="189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[REMAINDER OF PAGE INTENTIONALLY LEFT BLANK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FOR PURCHASER FOLLOWS]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39</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[PURCHASER SIGNATURE PAGES TO TBH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Instruments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$625,000.00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Notes (</w:t>
      </w:r>
      <w:r>
        <w:rPr>
          <w:rFonts w:ascii="Times New Roman;Times;Serif" w:hAnsi="Times New Roman;Times;Serif"/>
          <w:b w:val="false"/>
          <w:i/>
          <w:caps w:val="false"/>
          <w:smallCaps w:val="false"/>
          <w:sz w:val="20"/>
        </w:rPr>
        <w:t>4/3 x Subscription Amount</w:t>
      </w:r>
      <w:r>
        <w:rPr>
          <w:rFonts w:ascii="Times New Roman;Times;Serif" w:hAnsi="Times New Roman;Times;Serif"/>
          <w:b w:val="false"/>
          <w:i w:val="false"/>
          <w:caps w:val="false"/>
          <w:smallCaps w:val="false"/>
          <w:sz w:val="20"/>
        </w:rPr>
        <w:t>): $833,333.34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Shares (pro rata allocation):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Blocker for Notes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[PURCHASER SIGNATURE PAGES TO TBH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Instruments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$625,000.00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Notes (</w:t>
      </w:r>
      <w:r>
        <w:rPr>
          <w:rFonts w:ascii="Times New Roman;Times;Serif" w:hAnsi="Times New Roman;Times;Serif"/>
          <w:b w:val="false"/>
          <w:i/>
          <w:caps w:val="false"/>
          <w:smallCaps w:val="false"/>
          <w:sz w:val="20"/>
        </w:rPr>
        <w:t>4/3 x Subscription Amount</w:t>
      </w:r>
      <w:r>
        <w:rPr>
          <w:rFonts w:ascii="Times New Roman;Times;Serif" w:hAnsi="Times New Roman;Times;Serif"/>
          <w:b w:val="false"/>
          <w:i w:val="false"/>
          <w:caps w:val="false"/>
          <w:smallCaps w:val="false"/>
          <w:sz w:val="20"/>
        </w:rPr>
        <w:t>): $833,333.34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Shares (pro rata allocation):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Blocker for Notes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sz w:val="20"/>
        </w:rPr>
      </w:pPr>
      <w:r>
        <w:rPr>
          <w:rFonts w:ascii="Times New Roman;Times;Serif" w:hAnsi="Times New Roman;Times;Serif"/>
          <w:b w:val="false"/>
          <w:i w:val="false"/>
          <w:caps/>
          <w:sz w:val="20"/>
        </w:rPr>
        <w:t>[PURCHASER SIGNATURE PAGES TO TBH PURCHASE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have caused this Purchase Agreement to be duly executed by their respective authorized signatories as of the date first indicated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Purchaser: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Purchaser</w:t>
      </w:r>
      <w:r>
        <w:rPr>
          <w:rFonts w:ascii="Times New Roman;Times;Serif" w:hAnsi="Times New Roman;Times;Serif"/>
          <w:b w:val="false"/>
          <w:i w:val="false"/>
          <w:caps w:val="false"/>
          <w:smallCaps w:val="false"/>
          <w:sz w:val="20"/>
        </w:rPr>
        <w:t>: __________________________________</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Address of Authorized Signatory: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 to Purchaser: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Delivery of Instruments to Purchaser (if not same as address for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Subscription Amount: $625,000.00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Amount of Notes (</w:t>
      </w:r>
      <w:r>
        <w:rPr>
          <w:rFonts w:ascii="Times New Roman;Times;Serif" w:hAnsi="Times New Roman;Times;Serif"/>
          <w:b w:val="false"/>
          <w:i/>
          <w:caps w:val="false"/>
          <w:smallCaps w:val="false"/>
          <w:sz w:val="20"/>
        </w:rPr>
        <w:t>4/3 x Subscription Amount</w:t>
      </w:r>
      <w:r>
        <w:rPr>
          <w:rFonts w:ascii="Times New Roman;Times;Serif" w:hAnsi="Times New Roman;Times;Serif"/>
          <w:b w:val="false"/>
          <w:i w:val="false"/>
          <w:caps w:val="false"/>
          <w:smallCaps w:val="false"/>
          <w:sz w:val="20"/>
        </w:rPr>
        <w:t>): $833,333.34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Commitment Shares (pro rata allocation): 1,000,000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Blocker for Notes ☒ 4.99% or ☐ 9.99%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EIN Number: 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42</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27" w:name="ea028977301ex10-2.htm"/>
      <w:bookmarkStart w:id="28" w:name="ksea028977301ex102"/>
      <w:bookmarkEnd w:id="27"/>
      <w:bookmarkEnd w:id="28"/>
      <w:r>
        <w:rPr>
          <w:b/>
        </w:rPr>
        <w:t>Exhibit 10.2</w:t>
      </w:r>
      <w:r>
        <w:br w:type="page"/>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Rights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made and entered into as of May 4, 2026, between Brag House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each of the several purchasers signatory hereto (each such purchaser, a “</w:t>
      </w:r>
      <w:r>
        <w:rPr>
          <w:rFonts w:ascii="Times New Roman;Times;Serif" w:hAnsi="Times New Roman;Times;Serif"/>
          <w:b w:val="false"/>
          <w:i w:val="false"/>
          <w:caps w:val="false"/>
          <w:smallCaps w:val="false"/>
          <w:sz w:val="20"/>
          <w:u w:val="single"/>
        </w:rPr>
        <w:t>Purchaser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Purchasers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Agreement is made pursuant to the Purchase Agreement, dated as of the date hereof, between the Company and each Purchaser (the “</w:t>
      </w:r>
      <w:r>
        <w:rPr>
          <w:rFonts w:ascii="Times New Roman;Times;Serif" w:hAnsi="Times New Roman;Times;Serif"/>
          <w:b w:val="false"/>
          <w:i w:val="false"/>
          <w:caps w:val="false"/>
          <w:smallCaps w:val="false"/>
          <w:sz w:val="20"/>
          <w:u w:val="single"/>
        </w:rPr>
        <w:t>Purchase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each Purchaser hereby agrees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Definitions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Capitalized terms used and not otherwise defined herein that are defined in the Purchase Agreement shall have the meanings given such terms in the Purchase Agreement.</w:t>
      </w:r>
      <w:r>
        <w:rPr>
          <w:rFonts w:ascii="Times New Roman;Times;Serif" w:hAnsi="Times New Roman;Times;Serif"/>
          <w:b w:val="false"/>
          <w:i w:val="false"/>
          <w:caps w:val="false"/>
          <w:smallCaps w:val="false"/>
          <w:sz w:val="20"/>
        </w:rPr>
        <w:t xml:space="preserve"> As used in this Agreement, the following terms shall have the following meanings: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shall have the meaning set forth in Section 6(c).</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Date</w:t>
      </w:r>
      <w:r>
        <w:rPr>
          <w:rFonts w:ascii="Times New Roman;Times;Serif" w:hAnsi="Times New Roman;Times;Serif"/>
          <w:b w:val="false"/>
          <w:i w:val="false"/>
          <w:caps w:val="false"/>
          <w:smallCaps w:val="false"/>
          <w:sz w:val="20"/>
        </w:rPr>
        <w:t>” means, with respect to the Initial Registration Statement required to be filed hereunder, fifteen (15) days after the Filing Date (as defined below) (or, in the event of a “limited review” by the Commission forty-five (45) days after the Filing Date and in the event of a “full review” by the Commission sixty (60) days after the Filing Date) and with respect to any additional Registration Statements which may be required pursuant to Section 2(c) or Section 3(c), the 30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on which an additional Registration Statement is required to be filed hereunder (or, in the event of a “limited review” by the Commission forty-five (45) days following the date such additional Registration Statement is required to be filed hereunder and in the event of a “full review” by the Commission,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calendar day following the date such additional Registration Statement is required to be filed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the event the Company is notified by the Commission that one or more of the above Registration Statements will not be reviewed or is no longer subject to further review and comments, the Effectiveness Date as to such Registration Statement shall be the fifth Trading Day following the date on which the Company is so notified if such date precedes the dates otherwise required above, provided, further, if such Effectiveness Date falls on a day that is not a Trading Day, then the Effectiveness Date shall be the next succeeding Trading Day.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shall have the meaning set forth in Section 2(d).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shall have the meaning set forth in Section 2(d).</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Filing Date</w:t>
      </w:r>
      <w:r>
        <w:rPr>
          <w:rFonts w:ascii="Times New Roman;Times;Serif" w:hAnsi="Times New Roman;Times;Serif"/>
          <w:b w:val="false"/>
          <w:i w:val="false"/>
          <w:caps w:val="false"/>
          <w:smallCaps w:val="false"/>
          <w:sz w:val="20"/>
        </w:rPr>
        <w:t>” means, with respect to the Initial Registration Statement required hereunder, the earlier to occur of (a) five (5) Trading Days following the completion of audited financials for House of Doge, Inc. through [December 31, 2025] and (b) June 30, 2026 and, with respect to any additional Registration Statements which may be required pursuant to Section 2(c) or Section 3(c), the earliest practical date on which the Company is permitted by SEC Guidance to file such additional Registration Statement related to the Registrable Instruments. Notwithstanding the foregoing, the Company agrees to use best efforts to complete the audit of the financials for House of Doge, Inc. on or before June 15, 2026; in the event it is unable, despite best efforts, to meet this target, the Company shall promptly notify the Holders.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Holder</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means the holder or holders, as the case may be, from time to time of Registrable Instruments.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shall have the meaning set forth in Section 5(c).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shall have the meaning set forth in Section 5(c).</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Initial Registration Statement</w:t>
      </w:r>
      <w:r>
        <w:rPr>
          <w:rFonts w:ascii="Times New Roman;Times;Serif" w:hAnsi="Times New Roman;Times;Serif"/>
          <w:b w:val="false"/>
          <w:i w:val="false"/>
          <w:caps w:val="false"/>
          <w:smallCaps w:val="false"/>
          <w:sz w:val="20"/>
        </w:rPr>
        <w:t>” means the initial Registration Statement filed pursuant to this Agreement.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shall have the meaning set forth in Section 5(a).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shall have the meaning set forth in Section 2(a).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means the prospectus included in a Registration Statement (including, without limitation, a prospectus that includes any information previously omitted from a prospectus filed as part of an effective registration statement in reliance upon Rule 430A promulgated by the Commission pursuant to the Securities Act), as amended or supplemented by any prospectus supplement, with respect to the terms of the offering of any portion of the Registrable Instruments covered by a Registration Statement, and all other amendments and supplements to the Prospectus, including post-effective amendments, and all material incorporated by reference or deemed to be incorporated by reference in such Prospectus.</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Registrable Instruments</w:t>
      </w:r>
      <w:r>
        <w:rPr>
          <w:rFonts w:ascii="Times New Roman;Times;Serif" w:hAnsi="Times New Roman;Times;Serif"/>
          <w:b w:val="false"/>
          <w:i w:val="false"/>
          <w:caps w:val="false"/>
          <w:smallCaps w:val="false"/>
          <w:sz w:val="20"/>
        </w:rPr>
        <w:t xml:space="preserve">” means, as of any date of determination, (a) 100% of the shares of Common Stock then issued and issuable upon conversion in full of the Notes (assuming on such date the Notes are converted in full without regard to any conversion limitations therein), (b) 100% of all Commitment Shares, and (c) any securities issued or then issuable upon any stock split, dividend or other distribution, recapitalization or similar event with respect to the foregoing; </w:t>
      </w:r>
      <w:r>
        <w:rPr>
          <w:rFonts w:ascii="Times New Roman;Times;Serif" w:hAnsi="Times New Roman;Times;Serif"/>
          <w:b w:val="false"/>
          <w:i w:val="false"/>
          <w:caps w:val="false"/>
          <w:smallCaps w:val="false"/>
          <w:sz w:val="20"/>
          <w:u w:val="single"/>
        </w:rPr>
        <w:t>provided, however</w:t>
      </w:r>
      <w:r>
        <w:rPr>
          <w:rFonts w:ascii="Times New Roman;Times;Serif" w:hAnsi="Times New Roman;Times;Serif"/>
          <w:b w:val="false"/>
          <w:i w:val="false"/>
          <w:caps w:val="false"/>
          <w:smallCaps w:val="false"/>
          <w:sz w:val="20"/>
        </w:rPr>
        <w:t>, that any such Registrable Instruments shall cease to be Registrable Instruments (and the Company shall not be required to maintain the effectiveness of any, or file another, Registration Statement hereunder with respect thereto) for so long as (a) a Registration Statement with respect to the sale of such Registrable Instruments is declared effective by the Commission under the Securities Act and such Registrable Instruments have been disposed of by the Holder in accordance with such effective Registration Statement, (b) such Registrable Instruments have been previously sold in accordance with Rule 144, or (c) such securities become eligible for resale without volume or manner-of-sale restrictions and without current public information pursuant to Rule 144 as set forth in a written opinion letter to such effect, addressed, delivered and acceptable to the Transfer Agent and the affected Holders (assuming that such securities and any securities issuable upon exercise, conversion or exchange of which, or as a dividend upon which, such securities were issued or are issuable, were at no time held by any Affiliate of the Company, as reasonably determined by the Company, upon the advice of counsel to the Company).</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jc w:val="center"/>
        <w:rPr/>
      </w:pPr>
      <w:r>
        <w:rPr/>
        <w:t> </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means any registration statement required to be filed hereunder pursuant to Section 2(a) and any additional registration statements contemplated by Section 2(c) or Section 3(c), including (in each case) the Prospectus, amendments and supplements to any such registration statement or Prospectus, including pre- and post-effective amendments, all exhibits thereto, and all material incorporated by reference or deemed to be incorporated by reference in any such registration statement.</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415</w:t>
      </w:r>
      <w:r>
        <w:rPr>
          <w:rFonts w:ascii="Times New Roman;Times;Serif" w:hAnsi="Times New Roman;Times;Serif"/>
          <w:b w:val="false"/>
          <w:i w:val="false"/>
          <w:caps w:val="false"/>
          <w:smallCaps w:val="false"/>
          <w:sz w:val="20"/>
        </w:rPr>
        <w:t>” means Rule 415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Rule 424</w:t>
      </w:r>
      <w:r>
        <w:rPr>
          <w:rFonts w:ascii="Times New Roman;Times;Serif" w:hAnsi="Times New Roman;Times;Serif"/>
          <w:b w:val="false"/>
          <w:i w:val="false"/>
          <w:caps w:val="false"/>
          <w:smallCaps w:val="false"/>
          <w:sz w:val="20"/>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Selling Stockholder Questionnaire</w:t>
      </w:r>
      <w:r>
        <w:rPr>
          <w:rFonts w:ascii="Times New Roman;Times;Serif" w:hAnsi="Times New Roman;Times;Serif"/>
          <w:b w:val="false"/>
          <w:i w:val="false"/>
          <w:caps w:val="false"/>
          <w:smallCaps w:val="false"/>
          <w:sz w:val="20"/>
        </w:rPr>
        <w:t>” shall have the meaning set forth in Section 3(a).</w:t>
      </w:r>
    </w:p>
    <w:p>
      <w:pPr>
        <w:pStyle w:val="TextBody"/>
        <w:bidi w:val="0"/>
        <w:spacing w:before="0" w:after="0"/>
        <w:ind w:left="720" w:right="0" w:firstLine="720"/>
        <w:jc w:val="both"/>
        <w:rPr>
          <w:caps w:val="false"/>
          <w:smallCaps w:val="false"/>
        </w:rPr>
      </w:pPr>
      <w:r>
        <w:rPr>
          <w:caps w:val="false"/>
          <w:smallCaps w:val="false"/>
        </w:rPr>
        <w:t> </w:t>
      </w:r>
    </w:p>
    <w:p>
      <w:pPr>
        <w:pStyle w:val="TextBody"/>
        <w:bidi w:val="0"/>
        <w:spacing w:before="0" w:after="0"/>
        <w:ind w:left="720" w:right="0" w:firstLine="72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 Guidance</w:t>
      </w:r>
      <w:r>
        <w:rPr>
          <w:rFonts w:ascii="Times New Roman;Times;Serif" w:hAnsi="Times New Roman;Times;Serif"/>
          <w:b w:val="false"/>
          <w:i w:val="false"/>
          <w:caps w:val="false"/>
          <w:smallCaps w:val="false"/>
          <w:sz w:val="20"/>
        </w:rPr>
        <w:t>” means (i) any publicly-available written or oral guidance of the Commission staff, or any comments, requirements or requests of the Commission staff and (ii)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Shelf Registration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On or prior to each Filing Date, the Company shall prepare and file with the Commission a Registration Statement covering the resale of all of the Registrable Instruments that are not then registered on an effective Registration Statement for an offering to be made on a continuous basis pursuant to Rule 415. Each Registration Statement filed hereunder shall be on Form S-3 (except if the Company is not then eligible to register for resale the Registrable Instruments on Form S-3, in which case such registration shall be on another appropriate form in accordance herewith, subject to the provisions of Section 2(e)) and shall contain (unless otherwise directed by the Required Holders) substantially the “</w:t>
      </w:r>
      <w:r>
        <w:rPr>
          <w:rFonts w:ascii="Times New Roman;Times;Serif" w:hAnsi="Times New Roman;Times;Serif"/>
          <w:b w:val="false"/>
          <w:i w:val="false"/>
          <w:caps w:val="false"/>
          <w:smallCaps w:val="false"/>
          <w:sz w:val="20"/>
          <w:u w:val="single"/>
        </w:rPr>
        <w:t>Plan of Distribution</w:t>
      </w:r>
      <w:r>
        <w:rPr>
          <w:rFonts w:ascii="Times New Roman;Times;Serif" w:hAnsi="Times New Roman;Times;Serif"/>
          <w:b w:val="false"/>
          <w:i w:val="false"/>
          <w:caps w:val="false"/>
          <w:smallCaps w:val="false"/>
          <w:sz w:val="20"/>
        </w:rPr>
        <w:t xml:space="preserve">”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and substantially the “</w:t>
      </w:r>
      <w:r>
        <w:rPr>
          <w:rFonts w:ascii="Times New Roman;Times;Serif" w:hAnsi="Times New Roman;Times;Serif"/>
          <w:b w:val="false"/>
          <w:i w:val="false"/>
          <w:caps w:val="false"/>
          <w:smallCaps w:val="false"/>
          <w:sz w:val="20"/>
          <w:u w:val="single"/>
        </w:rPr>
        <w:t>Selling Stockholder</w:t>
      </w:r>
      <w:r>
        <w:rPr>
          <w:rFonts w:ascii="Times New Roman;Times;Serif" w:hAnsi="Times New Roman;Times;Serif"/>
          <w:b w:val="false"/>
          <w:i w:val="false"/>
          <w:caps w:val="false"/>
          <w:smallCaps w:val="false"/>
          <w:sz w:val="20"/>
        </w:rPr>
        <w:t xml:space="preserve">” section attached hereto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 Holder shall be required to be named as an “underwriter” without such Holder’s express prior written consent. Subject to the terms of this Agreement, the Company shall use its best efforts to cause a Registration Statement filed under this Agreement (including, without limitation, under Section 3(c)) to be declared effective under the Securities Act as promptly as possible after the filing thereof, but in any event no later than the applicable Effectiveness Date, and shall use its best efforts to keep such Registration Statement continuously effective under the Securities Act until the date that all Registrable Instruments covered by such Registration Statement (i) have been sold, thereunder or pursuant to Rule 144, or (ii) may be sold without volume or manner-of-sale restrictions pursuant to Rule 144 and without the requirement for the Company to be in compliance with the current public information requirement under Rule 144, as determined by the counsel to the Company pursuant to a written opinion letter to such effect, addressed and acceptable to the Transfer Agent and the affected Holders (the “</w:t>
      </w:r>
      <w:r>
        <w:rPr>
          <w:rFonts w:ascii="Times New Roman;Times;Serif" w:hAnsi="Times New Roman;Times;Serif"/>
          <w:b w:val="false"/>
          <w:i w:val="false"/>
          <w:caps w:val="false"/>
          <w:smallCaps w:val="false"/>
          <w:sz w:val="20"/>
          <w:u w:val="single"/>
        </w:rPr>
        <w:t>Effectiveness Period</w:t>
      </w:r>
      <w:r>
        <w:rPr>
          <w:rFonts w:ascii="Times New Roman;Times;Serif" w:hAnsi="Times New Roman;Times;Serif"/>
          <w:b w:val="false"/>
          <w:i w:val="false"/>
          <w:caps w:val="false"/>
          <w:smallCaps w:val="false"/>
          <w:sz w:val="20"/>
        </w:rPr>
        <w:t>”). The Company shall telephonically request effectiveness of a Registration Statement as of 5:00 p.m. (New York City time) on a Trading Day. The Company shall immediately notify the Holders via e-mail of the effectiveness of a Registration Statement on the same Trading Day that the Company telephonically confirms effectiveness with the Commission, which shall be the date requested for effectiveness of such Registration Statement. The Company shall, by 9:30 a.m. (New York City time) on the Trading Day after the effective date of such Registration Statement, file a final Prospectus with the Commission as required by Rule 424. Failure to so notify the Holder within one (1) Trading Day of such notification of effectiveness or failure to file a final Prospectus as foresaid shall be deemed an Event under Section 2(d).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3</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the registration obligations set forth in Section 2(a), if the Commission informs the Company that all of the Registrable Instruments cannot, as a result of the application of Rule 415, be registered for resale as a secondary offering on a single registration statement, the Company agrees to promptly inform each of the Holders thereof and use its commercially reasonable efforts to file amendments to the Initial Registration Statement as required by the Commission, covering the maximum number of Registrable Instruments permitted to be registered by the Commission, on Form S-3 or such other form available to register for resale the Registrable Instruments as a secondary offering, subject to the provisions of Section 2(e); with respect to filing on Form S-3 or other appropriate form, and subject to the provisions of Section 2(d) with respect to the payment of liquidated damages;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prior to filing such amendment, the Company shall be obligated to use diligent efforts to advocate with the Commission for the registration of all of the Registrable Instruments in accordance with the SEC Guidance, including without limitation, Compliance and Disclosure Interpretation 612.09.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 other provision of this Agreement and subject to the payment of liquidated damages pursuant to Section 2(d), if the Commission or any SEC Guidance sets forth a limitation on the number of Registrable Instruments permitted to be registered on a particular Registration Statement as a secondary offering (and notwithstanding that the Company used diligent efforts to advocate with the Commission for the registration of all or a greater portion of Registrable Instruments), unless otherwise directed in writing by a Holder as to its Registrable Instruments, the number of Registrable Instruments to be registered on such Registration Statement will be reduced as follows:</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a.</w:t>
            </w:r>
          </w:p>
        </w:tc>
        <w:tc>
          <w:tcPr>
            <w:tcW w:w="9983" w:type="dxa"/>
            <w:tcBorders/>
            <w:vAlign w:val="center"/>
          </w:tcPr>
          <w:p>
            <w:pPr>
              <w:pStyle w:val="TableContents"/>
              <w:bidi w:val="0"/>
              <w:spacing w:before="0" w:after="283"/>
              <w:jc w:val="both"/>
              <w:rPr/>
            </w:pPr>
            <w:r>
              <w:rPr/>
              <w:t>First, the Company shall reduce or eliminate any securities to be included other than Registrable Instruments;</w:t>
            </w:r>
          </w:p>
        </w:tc>
      </w:tr>
    </w:tbl>
    <w:p>
      <w:pPr>
        <w:pStyle w:val="TextBody"/>
        <w:bidi w:val="0"/>
        <w:spacing w:before="0" w:after="0"/>
        <w:ind w:left="108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0"/>
        <w:gridCol w:w="9968"/>
      </w:tblGrid>
      <w:tr>
        <w:trPr/>
        <w:tc>
          <w:tcPr>
            <w:tcW w:w="3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9968" w:type="dxa"/>
            <w:tcBorders/>
            <w:vAlign w:val="center"/>
          </w:tcPr>
          <w:p>
            <w:pPr>
              <w:pStyle w:val="TableContents"/>
              <w:bidi w:val="0"/>
              <w:spacing w:before="0" w:after="283"/>
              <w:jc w:val="both"/>
              <w:rPr/>
            </w:pPr>
            <w:r>
              <w:rPr/>
              <w:t>Second, the Company shall reduce Registrable Instruments represented by shares of Common Stock issuable upon conversion of the Notes (applied, in the case that some such shares may be registered, to the Holders on a pro rata basis based on the total number of unregistered such shares held by such Holders); and</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c.</w:t>
            </w:r>
          </w:p>
        </w:tc>
        <w:tc>
          <w:tcPr>
            <w:tcW w:w="9983" w:type="dxa"/>
            <w:tcBorders/>
            <w:vAlign w:val="center"/>
          </w:tcPr>
          <w:p>
            <w:pPr>
              <w:pStyle w:val="TableContents"/>
              <w:bidi w:val="0"/>
              <w:spacing w:before="0" w:after="283"/>
              <w:jc w:val="both"/>
              <w:rPr/>
            </w:pPr>
            <w:r>
              <w:rPr/>
              <w:t>Third, the Company shall reduce Registrable Instruments represented by Commitment Shares (applied, in the case that some Commitment Shares may be registered, to the Holders on a pro rata basis based on the total number of unregistered Commitment Shares held by such Holders).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 cutback hereunder, the Company shall give the Holder at least five (5) Trading Days prior written notice along with the calculations as to such Holder’s allotment. In the event the Company amends the Initial Registration Statement in accordance with the foregoing, the Company will use its best efforts to file with the Commission, as promptly as allowed by Commission or SEC Guidance provided to the Company or to registrants of securities in general, one or more registration statements on Form S-3 or such other form available to register for resale those Registrable Instruments that were not registered for resale on the Initial Registration Statement, as amended.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4</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(i) the Initial Registration Statement does not cover all the Registrable Instruments, (ii) the Initial Registration Statement is not filed on or prior to its Filing Date (if the Company files the Initial Registration Statement without affording the Holders the opportunity to review and comment on the same as required by Section 3(a) herein, the Company shall be deemed to have not satisfied this clause (ii)), or (iii) the Company fails to file with the Commission a request for acceleration of a Registration Statement in accordance with Rule 461 promulgated by the Commission pursuant to the Securities Act, within five (5) Trading Days of the date that the Company is notified (orally or in writing, whichever is earlier) by the Commission that such Registration Statement will not be “reviewed” or will not be subject to further review, or (iv) prior to the effective date of a Registration Statement, the Company fails to file a pre-effective amendment and otherwise respond in writing to comments made by the Commission in respect of such Registration Statement within ten (10) calendar days after the receipt of comments by or notice from the Commission that such amendment is required in order for such Registration Statement to be declared effective, or (v) a Registration Statement registering for resale all of the Registrable Instruments is not declared effective by the Commission by the Effectiveness Date of the Initial Registration Statement, or (vi) after the effective date of a Registration Statement, such Registration Statement ceases for any reason to remain continuously effective as to all Registrable Instruments included in such Registration Statement, or the Holders are otherwise not permitted to utilize the Prospectus therein to resell such Registrable Instruments, for more than ten (10) consecutive calendar days or more than an aggregate of fifteen (15) calendar days (which need not be consecutive calendar days) during any 12-month period (any such failure or breach being referred to as an “</w:t>
      </w:r>
      <w:r>
        <w:rPr>
          <w:rFonts w:ascii="Times New Roman;Times;Serif" w:hAnsi="Times New Roman;Times;Serif"/>
          <w:b w:val="false"/>
          <w:i w:val="false"/>
          <w:caps w:val="false"/>
          <w:smallCaps w:val="false"/>
          <w:sz w:val="20"/>
          <w:u w:val="single"/>
        </w:rPr>
        <w:t>Event</w:t>
      </w:r>
      <w:r>
        <w:rPr>
          <w:rFonts w:ascii="Times New Roman;Times;Serif" w:hAnsi="Times New Roman;Times;Serif"/>
          <w:b w:val="false"/>
          <w:i w:val="false"/>
          <w:caps w:val="false"/>
          <w:smallCaps w:val="false"/>
          <w:sz w:val="20"/>
        </w:rPr>
        <w:t>”, and for purposes of clauses (i) , (ii) and (v), the date on which such Event occurs, and for purpose of clause (iii) the date on which such five (5) Trading Day period is exceeded, and for purpose of clause (iv) the date which such ten (10) calendar day period is exceeded, and for purpose of clause (vi) the date on which such ten (10) or fifteen (15) calendar day period, as applicable, is exceeded being referred to as “</w:t>
      </w:r>
      <w:r>
        <w:rPr>
          <w:rFonts w:ascii="Times New Roman;Times;Serif" w:hAnsi="Times New Roman;Times;Serif"/>
          <w:b w:val="false"/>
          <w:i w:val="false"/>
          <w:caps w:val="false"/>
          <w:smallCaps w:val="false"/>
          <w:sz w:val="20"/>
          <w:u w:val="single"/>
        </w:rPr>
        <w:t>Event Date</w:t>
      </w:r>
      <w:r>
        <w:rPr>
          <w:rFonts w:ascii="Times New Roman;Times;Serif" w:hAnsi="Times New Roman;Times;Serif"/>
          <w:b w:val="false"/>
          <w:i w:val="false"/>
          <w:caps w:val="false"/>
          <w:smallCaps w:val="false"/>
          <w:sz w:val="20"/>
        </w:rPr>
        <w:t>”), then, in addition to any other rights the Holders may have hereunder or under applicable law, on each such Event Date and on each monthly anniversary of each such Event Date (if the applicable Event shall not have been cured by such date) until the applicable Event is cured, the Company shall pay to each Holder an amount in cash, as partial liquidated damages and not as a penalty, equal to the product of 1.0% multiplied by the aggregate Subscription Amount paid by such Holder pursuant to the Purchase Agreement. The parties agree that the maximum aggregate liquidated damages payable to a Holder under this Agreement shall be 12.0% of the aggregate Subscription Amount paid by such Holder pursuant to the Purchase Agreement. If the Company fails to pay any partial liquidated damages pursuant to this Section in full within seven days after the date payable, the Company will pay interest thereon at a rate of 18% per annum (or such lesser maximum amount that is permitted to be paid by applicable law) to the Holder, accruing daily from the date such partial liquidated damages are due until such amounts, plus all such interest thereon, are paid in full. The partial liquidated damages pursuant to the terms hereof shall apply on a daily pro rata basis for any portion of a month prior to the cure of an Event.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Form S-3 is not available for the registration of the resale of Registrable Instruments hereunder, the Company shall (i) register the resale of the Registrable Instruments on another appropriate form and (ii) undertake to register the Registrable Instruments on Form S-3 as soon as such form is available, provided that the Company shall maintain the effectiveness of the Registration Statement then in effect until such time as a Registration Statement on Form S-3 covering the Registrable Instruments has been declared effective by the Commission.</w:t>
      </w:r>
    </w:p>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Notwithstanding anything to the contrary contained herein, in no event shall the Company be permitted to name any Holder or affiliate of a Holder as any Underwriter without the prior written consent of such Holder.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5</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Registration Procedures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Company’s registration obligations hereunder, the Company shall: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Not less than five (5) Trading Days prior to the filing of each Registration Statement and not less than one (1) Trading Day prior to the filing of any related Prospectus or any amendment or supplement thereto (including any document that would be incorporated or deemed to be incorporated therein by reference), the Company shall (i) furnish to each Holder copies of all such documents proposed to be filed, which documents (other than those incorporated or deemed to be incorporated by reference) will be subject to the review of such Holders, and (ii) cause its officers and directors, counsel and independent registered public accountants to respond to such inquiries as shall be necessary, in the reasonable opinion of respective counsel to each Holder, to conduct a reasonable investigation within the meaning of the Securities Act. The Company shall not file a Registration Statement or any such Prospectus or any amendments or supplements thereto to which the Holders of a majority of the Registrable Instruments shall reasonably object in good faith, provided that, the Company is notified of such objection in writing no later than five (5) Trading Days after the Holders have been so furnished copies of a Registration Statement or one (1) Trading Day after the Holders have been so furnished copies of any related Prospectus or amendments or supplements thereto. Each Holder agrees to furnish to the Company a completed questionnaire in the form attached to this Agreement as </w:t>
      </w:r>
      <w:r>
        <w:rPr>
          <w:rFonts w:ascii="Times New Roman;Times;Serif" w:hAnsi="Times New Roman;Times;Serif"/>
          <w:b w:val="false"/>
          <w:i w:val="false"/>
          <w:caps w:val="false"/>
          <w:smallCaps w:val="false"/>
          <w:sz w:val="20"/>
          <w:u w:val="single"/>
        </w:rPr>
        <w:t>Annex B</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Selling Stockholder Questionnaire</w:t>
      </w:r>
      <w:r>
        <w:rPr>
          <w:rFonts w:ascii="Times New Roman;Times;Serif" w:hAnsi="Times New Roman;Times;Serif"/>
          <w:b w:val="false"/>
          <w:i w:val="false"/>
          <w:caps w:val="false"/>
          <w:smallCaps w:val="false"/>
          <w:sz w:val="20"/>
        </w:rPr>
        <w:t>”) on a date that is not less than two (2) Trading Days prior to the Filing Date or by the end of the fourth (4</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Trading Day following the date on which such Holder receives draft materials in accordance with this Section.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Prepare and file with the Commission such amendments, including post-effective amendments, to a Registration Statement and the Prospectus used in connection therewith as may be necessary to keep a Registration Statement continuously effective as to the applicable Registrable Instruments for the Effectiveness Period and prepare and file with the Commission such additional Registration Statements in order to register for resale under the Securities Act all of the Registrable Instruments, (ii) cause the related Prospectus to be amended or supplemented by any required Prospectus supplement (subject to the terms of this Agreement), and, as so supplemented or amended, to be filed pursuant to Rule 424, (iii) respond as promptly as reasonably possible to any comments received from the Commission with respect to a Registration Statement or any amendment thereto and provide as promptly as reasonably possible to the Holders true and complete copies of all correspondence from and to the Commission relating to a Registration Statement (provided that, the Company shall excise any information contained therein which would constitute material non-public information regarding the Company or any of its Subsidiaries), and (iv) comply in all material respects with the applicable provisions of the Securities Act and the Exchange Act with respect to the disposition of all Registrable Instruments covered by a Registration Statement during the applicable period in accordance (subject to the terms of this Agreement) with the intended methods of disposition by the Holders thereof set forth in such Registration Statement as so amended or in such Prospectus as so supplemented.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6</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during the Effectiveness Period, the number of Registrable Instruments at any time exceeds the number of shares of Common Stock then registered in a Registration Statement, then the Company shall file as soon as reasonably practicable, but in any case prior to the applicable Filing Date, an additional Registration Statement covering the resale by the Holders of not less than the number of such Registrable Instruments.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Notify the Holders of Registrable Instruments to be sold (which notice shall, pursuant to clauses (iii) through (vi) hereof, be accompanied by an instruction to suspend the use of the Prospectus until the requisite changes have been made) as promptly as reasonably possible (and, in the case of (i)(A) below, not less than one (1) Trading Day prior to such filing) and (if requested by any such Person) confirm such notice in writing no later than one (1) Trading Day following the day (i)(A) when a Prospectus or any Prospectus supplement or post-effective amendment to a Registration Statement is proposed to be filed, (B) when the Commission notifies the Company whether there will be a “review” of such Registration Statement and whenever the Commission comments in writing on such Registration Statement, and (C) with respect to a Registration Statement or any post-effective amendment, when the same has become effective, (ii) of any request by the Commission or any other federal or state governmental authority for amendments or supplements to a Registration Statement or Prospectus or for additional information, (iii) of the issuance by the Commission or any other federal or state governmental authority of any stop order suspending the effectiveness of a Registration Statement covering any or all of the Registrable Instruments or the initiation of any Proceedings for that purpose, (iv) of the receipt by the Company of any notification with respect to the suspension of the qualification or exemption from qualification of any of the Registrable Instruments for sale in any jurisdiction, or the initiation or threatening of any Proceeding for such purpose, (v) of the occurrence of any event or passage of time that makes the financial statements included in a Registration Statement ineligible for inclusion therein or any statement made in a Registration Statement or Prospectus or any document incorporated or deemed to be incorporated therein by reference untrue in any material respect or that requires any revisions to a Registration Statement, Prospectus or other documents so that, in the case of a Registration Statement or the Prospectus, as the case may be, it will not contain any untrue statement of a material fact or omit to state any material fact required to be stated therein or necessary to make the statements therein, in light of the circumstances under which they were made, not misleading, and (vi) of the occurrence or existence of any pending corporate development with respect to the Company that the Company believes may be material and that, in the determination of the Company, makes it not in the best interest of the Company to allow continued availability of a Registration Statement or Prospectus;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in no event shall any such notice contain any information which would constitute material, non-public information regarding the Company or any of its Subsidiaries, and the Company agrees that the Holders shall not have any duty of confidentiality to the Company or any of its Subsidiaries and shall not have any duty to the Company or any of its Subsidiaries not to trade on the basis of such information.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Use its best efforts to avoid the issuance of, or, if issued, obtain the withdrawal of (i) any order stopping or suspending the effectiveness of a Registration Statement, or (ii) any suspension of the qualification (or exemption from qualification) of any of the Registrable Instruments for sale in any jurisdiction, at the earliest practicable moment.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7</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Furnish to each Holder, without charge, at least one conformed copy of each such Registration Statement and each amendment thereto, including financial statements and schedules, all documents incorporated or deemed to be incorporated therein by reference to the extent requested by such Person, and all exhibits to the extent requested by such Person (including those previously furnished or incorporated by reference) promptly after the filing of such documents with the Commission, provided that any such item which is available on the EDGAR system (or successor thereto) need not be furnished in physical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Subject to the terms of this Agreement, the Company hereby consents to the use of such Prospectus and each amendment or supplement thereto by each of the selling Holders in connection with the offering and sale of the Registrable Instruments covered by such Prospectus and any amendment or supplement thereto, except after the giving of any notice pursuant to Section 3(d).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Prior to any resale of Registrable Instruments by a Holder, use its commercially reasonable efforts to register or qualify or cooperate with the selling Holders in connection with the registration or qualification (or exemption from the Registration or qualification) of such Registrable Instruments for the resale by the Holder under the securities or Blue Sky laws of such jurisdictions within the United States as any Holder reasonably requests in writing, to keep each registration or qualification (or exemption therefrom) effective during the Effectiveness Period and to do any and all other acts or things reasonably necessary to enable the disposition in such jurisdictions of the Registrable Instruments covered by each Registration Statement, provided that the Company shall not be required to qualify generally to do business in any jurisdiction where it is not then so qualified, subject the Company to any material tax in any such jurisdiction where it is not then so subject or file a general consent to service of process in any such jurisdiction.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requested by a Holder, cooperate with such Holder to facilitate the timely preparation and delivery of certificates representing Registrable Instruments to be delivered to a transferee pursuant to a Registration Statement, which certificates shall be free, to the extent permitted by the Purchase Agreement, of all restrictive legends, and to enable such Registrable Instruments to be in such denominations and registered in such names as any such Holder may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Upon the occurrence of any event contemplated by Section 3(d), as promptly as reasonably possible under the circumstances taking into account the Company’s good faith assessment of any adverse consequences to the Company and its stockholders of the premature disclosure of such event, prepare a supplement or amendment, including a post-effective amendment, to a Registration Statement or a supplement to the related Prospectus or any document incorporated or deemed to be incorporated therein by reference, and file any other required document so that, as thereafter delivered, neither a Registration Statement nor such Prospectus will contain an untrue statement of a material fact or omit to state a material fact required to be stated therein or necessary to make the statements therein, in light of the circumstances under which they were made, not misleading. If the Company notifies the Holders in accordance with clauses (iii) through (vi) of Section 3(d) above to suspend the use of any Prospectus until the requisite changes to such Prospectus have been made, then the Holders shall suspend use of such Prospectus. The Company will use its best efforts to ensure that the use of the Prospectus may be resumed as promptly as is practicable. The Company shall be entitled to exercise its right under this Section 3(j) to suspend the availability of a Registration Statement and Prospectus, subject to the payment of partial liquidated damages otherwise required pursuant to Section 2(d), for a period not to exceed 60 calendar days (which need not be consecutive days) in any 12-month period.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8</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Otherwise use commercially reasonable efforts to comply with all applicable rules and regulations of the Commission under the Securities Act and the Exchange Act, including, without limitation, Rule 172 under the Securities Act, file any final Prospectus, including any supplement or amendment thereof, with the Commission pursuant to Rule 424 under the Securities Act, promptly inform the Holders in writing if, at any time during the Effectiveness Period, the Company does not satisfy the conditions specified in Rule 172 and, as a result thereof, the Holders are required to deliver a Prospectus in connection with any disposition of Registrable Instruments and take such other actions as may be reasonably necessary to facilitate the registration of the Registrable Instruments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Company shall use its best efforts to maintain eligibility for use of Form S-3 (or any successor form thereto) for the registration of the resale of Registrable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The Company may require each selling Holder to furnish to the Company a certified statement as to the number of shares of Common Stock beneficially owned by such Holder and, if required by the Commission, the natural persons thereof that have voting and dispositive control over the shares. During any periods that the Company is unable to meet its obligations hereunder with respect to the registration of the Registrable Instruments solely because any Holder fails to furnish such information within three Trading Days of the Company’s request, any liquidated damages that are accruing at such time as to such Holder only shall be tolled and any Event that may otherwise occur solely because of such delay shall be suspended as to such Holder only, until such information is delivered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Registration Expenses</w:t>
      </w:r>
      <w:r>
        <w:rPr>
          <w:rFonts w:ascii="Times New Roman;Times;Serif" w:hAnsi="Times New Roman;Times;Serif"/>
          <w:b w:val="false"/>
          <w:i w:val="false"/>
          <w:caps w:val="false"/>
          <w:smallCaps w:val="false"/>
          <w:sz w:val="20"/>
        </w:rPr>
        <w:t>. All fees and expenses incident to the performance of, or compliance with, this Agreement by the Company shall be borne by the Company whether or not any Registrable Instruments are sold pursuant to a Registration Statement. The fees and expenses referred to in the foregoing sentence shall include, without limitation, (i) all registration and filing fees (including, without limitation, fees and expenses of the Company’s counsel and independent registered public accountants) (A) with respect to filings made with the Commission, (B) with respect to filings required to be made with any Trading Market on which the Common Stock is then listed for trading, and (C) in compliance with applicable state securities or Blue Sky laws reasonably agreed to by the Company in writing (including, without limitation, fees and disbursements of counsel for the Company in connection with Blue Sky qualifications or exemptions of the Registrable Instruments), (ii) printing expenses (including, without limitation, expenses of printing certificates for Registrable Instruments), (iii) messenger, telephone and delivery expenses, (iv) fees and disbursements of counsel for the Company, (v) Securities Act liability insurance, if the Company so desires such insurance, and (vi) fees and expenses of all other Persons retained by the Company in connection with the consummation of the transactions contemplated by this Agreement. In addition, the Company shall be responsible for all of its internal expenses incurred in connection with the consummation of the transactions contemplated by this Agreement (including, without limitation, all salaries and expenses of its officers and employees performing legal or accounting duties), the expense of any annual audit and the fees and expenses incurred in connection with the listing of the Registrable Instruments on any securities exchange as required hereunder. In no event shall the Company be responsible for any broker or similar commissions of any Holder or, except to the extent provided for in the Transaction Documents, any legal fees or other costs of the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9</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Indemnification by the Company</w:t>
      </w:r>
      <w:r>
        <w:rPr>
          <w:rFonts w:ascii="Times New Roman;Times;Serif" w:hAnsi="Times New Roman;Times;Serif"/>
          <w:b w:val="false"/>
          <w:i w:val="false"/>
          <w:caps w:val="false"/>
          <w:smallCaps w:val="false"/>
          <w:sz w:val="20"/>
        </w:rPr>
        <w:t>. The Company shall, notwithstanding any termination of this Agreement, indemnify and hold harmless each Holder, the officers, directors, members, partners, agents, brokers (including brokers who offer and sell Registrable Instruments as principal as a result of a pledge or any failure to perform under a margin call of Common Stock), investment advisors and employees (and any other Persons with a functionally equivalent role of a Person holding such titles, notwithstanding a lack of such title or any other title) of each of them, each Person who controls any such Holder (within the meaning of Section 15 of the Securities Act or Section 20 of the Exchange Act) and the officers, directors, members, stockholders, partners, agents and employees (and any other Persons with a functionally equivalent role of a Person holding such titles, notwithstanding a lack of such title or any other title) of each such controlling Person, to the fullest extent permitted by applicable law, from and against any and all losses, claims, damages, liabilities, costs (including, without limitation, reasonable attorneys’ fees) and expenses (collectively, “</w:t>
      </w:r>
      <w:r>
        <w:rPr>
          <w:rFonts w:ascii="Times New Roman;Times;Serif" w:hAnsi="Times New Roman;Times;Serif"/>
          <w:b w:val="false"/>
          <w:i w:val="false"/>
          <w:caps w:val="false"/>
          <w:smallCaps w:val="false"/>
          <w:sz w:val="20"/>
          <w:u w:val="single"/>
        </w:rPr>
        <w:t>Losses</w:t>
      </w:r>
      <w:r>
        <w:rPr>
          <w:rFonts w:ascii="Times New Roman;Times;Serif" w:hAnsi="Times New Roman;Times;Serif"/>
          <w:b w:val="false"/>
          <w:i w:val="false"/>
          <w:caps w:val="false"/>
          <w:smallCaps w:val="false"/>
          <w:sz w:val="20"/>
        </w:rPr>
        <w:t>”), as incurred, arising out of or relating to (1) any untrue or alleged untrue statement of a material fact contained in a Registration Statement, any Prospectus or any form of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or (2) any violation or alleged violation by the Company of the Securities Act, the Exchange Act or any state securities law, or any rule or regulation thereunder, in connection with the performance of its obligations under this Agreement, except to the extent, but only to the extent, that (i) such untrue statements or omissions are based solely upon information regarding such Holder furnished in writing to the Company by such Holder expressly for use therein, or to the extent that such information relates to such Holder or such Holder’s proposed method of distribution of Registrable Instruments and was reviewed and expressly approved in writing by such Holder expressly for use in a Registration Statement, such Prospectus or in any amendment or supplement thereto (it being understood that the Holder has approved Annex A hereto for this purpose) or (ii) in the case of an occurrence of an event of the type specified in Section 3(d)(iii)-(vi), the use by such Holder of an outdated, defective or otherwise unavailable Prospectus after the Company has notified such Holder in writing that the Prospectus is outdated, defective or otherwise unavailable for use by such Holder and prior to the receipt by such Holder of the Advice contemplated in Section 6(c). The Company shall notify the Holders promptly of the institution, threat or assertion of any Proceeding arising from or in connection with the transactions contemplated by this Agreement of which the Company is aware. Such indemnity shall remain in full force and effect regardless of any investigation made by or on behalf of such indemnified person and shall survive the transfer of any Registrable Instruments by any of the Holders in accordance with Section 6(f).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Indemnification by Holders</w:t>
      </w:r>
      <w:r>
        <w:rPr>
          <w:rFonts w:ascii="Times New Roman;Times;Serif" w:hAnsi="Times New Roman;Times;Serif"/>
          <w:b w:val="false"/>
          <w:i w:val="false"/>
          <w:caps w:val="false"/>
          <w:smallCaps w:val="false"/>
          <w:sz w:val="20"/>
        </w:rPr>
        <w:t>. Each Holder shall, severally and not jointly, indemnify and hold harmless the Company, its directors, officers, agents and employees, each Person who controls the Company (within the meaning of Section 15 of the Securities Act and Section 20 of the Exchange Act), and the directors, officers, agents or employees of such controlling Persons, to the fullest extent permitted by applicable law, from and against all Losses, as incurred, to the extent arising out of or based solely upon: any untrue or alleged untrue statement of a material fact contained in any Registration Statement, any Prospectus, or in any amendment or supplement thereto or in any preliminary prospectus, or arising out of or relating to any omission or alleged omission of a material fact required to be stated therein or necessary to make the statements therein (in the case of any Prospectus or supplement thereto, in light of the circumstances under which they were made) not misleading (i) to the extent, but only to the extent, that such untrue statement or omission is contained in any information so furnished in writing by such Holder to the Company expressly for inclusion in such Registration Statement or such Prospectus or (ii) to the extent, but only to the extent, that such information relates to such Holder’s information provided in the Selling Stockholder Questionnaire or the proposed method of distribution of Registrable Instruments and was reviewed and expressly approved in writing by such Holder expressly for use in a Registration Statement (it being understood that the Holder has approved Annex A hereto for this purpose), such Prospectus or in any amendment or supplement thereto. In no event shall the liability of a selling Holder be greater in amount than the dollar amount of the proceeds (net of all expenses paid by such Holder in connection with any claim relating to this Section 5 and the amount of any damages such Holder has otherwise been required to pay by reason of such untrue statement or omission) received by such Holder upon the sale of the Registrable Instruments included in the Registration Statement giving rise to such indemnification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10</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Conduct of Indemnification Proceedings</w:t>
      </w:r>
      <w:r>
        <w:rPr>
          <w:rFonts w:ascii="Times New Roman;Times;Serif" w:hAnsi="Times New Roman;Times;Serif"/>
          <w:b w:val="false"/>
          <w:i w:val="false"/>
          <w:caps w:val="false"/>
          <w:smallCaps w:val="false"/>
          <w:sz w:val="20"/>
        </w:rPr>
        <w:t>. If any Proceeding shall be brought or asserted against any Person entitled to indemnity hereunder (an “</w:t>
      </w:r>
      <w:r>
        <w:rPr>
          <w:rFonts w:ascii="Times New Roman;Times;Serif" w:hAnsi="Times New Roman;Times;Serif"/>
          <w:b w:val="false"/>
          <w:i w:val="false"/>
          <w:caps w:val="false"/>
          <w:smallCaps w:val="false"/>
          <w:sz w:val="20"/>
          <w:u w:val="single"/>
        </w:rPr>
        <w:t>Indemnified Party</w:t>
      </w:r>
      <w:r>
        <w:rPr>
          <w:rFonts w:ascii="Times New Roman;Times;Serif" w:hAnsi="Times New Roman;Times;Serif"/>
          <w:b w:val="false"/>
          <w:i w:val="false"/>
          <w:caps w:val="false"/>
          <w:smallCaps w:val="false"/>
          <w:sz w:val="20"/>
        </w:rPr>
        <w:t>”), such Indemnified Party shall promptly notify the Person from whom indemnity is sought (the “</w:t>
      </w:r>
      <w:r>
        <w:rPr>
          <w:rFonts w:ascii="Times New Roman;Times;Serif" w:hAnsi="Times New Roman;Times;Serif"/>
          <w:b w:val="false"/>
          <w:i w:val="false"/>
          <w:caps w:val="false"/>
          <w:smallCaps w:val="false"/>
          <w:sz w:val="20"/>
          <w:u w:val="single"/>
        </w:rPr>
        <w:t>Indemnifying Party</w:t>
      </w:r>
      <w:r>
        <w:rPr>
          <w:rFonts w:ascii="Times New Roman;Times;Serif" w:hAnsi="Times New Roman;Times;Serif"/>
          <w:b w:val="false"/>
          <w:i w:val="false"/>
          <w:caps w:val="false"/>
          <w:smallCaps w:val="false"/>
          <w:sz w:val="20"/>
        </w:rPr>
        <w:t>”) in writing, and the Indemnifying Party shall have the right to assume the defense thereof, including the employment of counsel reasonably satisfactory to the Indemnified Party and the payment of all fees and expenses incurred in connection with defense thereof, provided that the failure of any Indemnified Party to give such notice shall not relieve the Indemnifying Party of its obligations or liabilities pursuant to this Agreement, except (and only) to the extent that it shall be finally determined by a court of competent jurisdiction (which determination is not subject to appeal or further review) that such failure shall have materially and adversely prejudiced the Indemnifying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Indemnified Party shall have the right to employ separate counsel in any such Proceeding and to participate in the defense thereof, but the fees and expenses of such counsel shall be at the expense of such Indemnified Party or Parties unless: (1) the Indemnifying Party has agreed in writing to pay such fees and expenses, (2) the Indemnifying Party shall have failed promptly to assume the defense of such Proceeding and to employ counsel reasonably satisfactory to such Indemnified Party in any such Proceeding, or (3) the named parties to any such Proceeding (including any impleaded parties) include both such Indemnified Party and the Indemnifying Party, and counsel to the Indemnified Party shall reasonably believe that a material conflict of interest is likely to exist if the same counsel were to represent such Indemnified Party and the Indemnifying Party (in which case, if such Indemnified Party notifies the Indemnifying Party in writing that it elects to employ separate counsel at the expense of the Indemnifying Party, the Indemnifying Party shall not have the right to assume the defense thereof and the reasonable fees and expenses of no more than one separate counsel shall be at the expense of the Indemnifying Party). The Indemnifying Party shall not be liable for any settlement of any such Proceeding effected without its written consent, which consent shall not be unreasonably withheld or delayed. No Indemnifying Party shall, without the prior written consent of the Indemnified Party, effect any settlement of any pending Proceeding in respect of which any Indemnified Party is a party, unless such settlement includes an unconditional release of such Indemnified Party from all liability on claims that are the subject matter of such Proceeding.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Agreement, all reasonable fees and expenses of the Indemnified Party (including reasonable fees and expenses to the extent incurred in connection with investigating or preparing to defend such Proceeding in a manner not inconsistent with this Section) shall be paid to the Indemnified Party, as incurred, within ten (10) Trading Days of written notice thereof to the Indemnifying Party, provided that the Indemnified Party shall promptly reimburse the Indemnifying Party for that portion of such fees and expenses applicable to such actions for which such Indemnified Party is finally determined by a court of competent jurisdiction (which determination is not subject to appeal or further review) not to be entitled to indemnification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Contribution</w:t>
      </w:r>
      <w:r>
        <w:rPr>
          <w:rFonts w:ascii="Times New Roman;Times;Serif" w:hAnsi="Times New Roman;Times;Serif"/>
          <w:b w:val="false"/>
          <w:i w:val="false"/>
          <w:caps w:val="false"/>
          <w:smallCaps w:val="false"/>
          <w:sz w:val="20"/>
        </w:rPr>
        <w:t>. If the indemnification under Section 5(a) or 5(b) is unavailable to an Indemnified Party or insufficient to hold an Indemnified Party harmless for any Losses, then each Indemnifying Party shall contribute to the amount paid or payable by such Indemnified Party, in such proportion as is appropriate to reflect the relative fault of the Indemnifying Party and Indemnified Party in connection with the actions, statements or omissions that resulted in such Losses as well as any other relevant equitable considerations. The relative fault of such Indemnifying Party and Indemnified Party shall be determined by reference to, among other things, whether any action in question, including any untrue or alleged untrue statement of a material fact or omission or alleged omission of a material fact, has been taken or made by, or relates to information supplied by, such Indemnifying Party or Indemnified Party, and the parties’ relative intent, knowledge, access to information and opportunity to correct or prevent such action, statement or omission. The amount paid or payable by a party as a result of any Losses shall be deemed to include, subject to the limitations set forth in this Agreement, any reasonable attorneys’ or other fees or expenses incurred by such party in connection with any Proceeding to the extent such party would have been indemnified for such fees or expenses if the indemnification provided for in this Section was available to such party in accordance with its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that it would not be just and equitable if contribution pursuant to this Section 5(d) were determined by pro rata allocation or by any other method of allocation that does not take into account the equitable considerations referred to in the immediately preceding paragraph. In no event shall the contribution obligation of a Holder of Registrable Instruments be greater in amount than the dollar amount of the proceeds (net of all expenses paid by such Holder in connection with any claim relating to this Section 5 and the amount of any damages such Holder has otherwise been required to pay by reason of such untrue or alleged untrue statement or omission or alleged omission) received by it upon the sale of the Registrable Instruments giving rise to such contribution obligation.</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indemnity and contribution agreements contained in this Section are in addition to any liability that the Indemnifying Parties may have to the Indemnified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Remedies</w:t>
      </w:r>
      <w:r>
        <w:rPr>
          <w:rFonts w:ascii="Times New Roman;Times;Serif" w:hAnsi="Times New Roman;Times;Serif"/>
          <w:b w:val="false"/>
          <w:i w:val="false"/>
          <w:caps w:val="false"/>
          <w:smallCaps w:val="false"/>
          <w:sz w:val="20"/>
        </w:rPr>
        <w:t>. In the event of a breach by the Company or by a Holder of any of their respective obligations under this Agreement, each Holder or the Company, as the case may be, in addition to being entitled to exercise all rights granted by law and under this Agreement, including recovery of damages, shall be entitled to specific performance of its rights under this Agreement. Each of the Company and each Holder agrees that monetary damages would not provide adequate compensation for any losses incurred by reason of a breach by it of any of the provisions of this Agreement and hereby further agrees that, in the event of any action for specific performance in respect of such breach, it shall not assert or shall waive the defense that a remedy at law would be adequate.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 Piggyback on Registrations; Prohibition on Filing Other Registration Statements</w:t>
      </w:r>
      <w:r>
        <w:rPr>
          <w:rFonts w:ascii="Times New Roman;Times;Serif" w:hAnsi="Times New Roman;Times;Serif"/>
          <w:b w:val="false"/>
          <w:i w:val="false"/>
          <w:caps w:val="false"/>
          <w:smallCaps w:val="false"/>
          <w:sz w:val="20"/>
        </w:rPr>
        <w:t>. Neither the Company nor any of its security holders (other than the Holders in such capacity pursuant hereto) may include securities of the Company in any Registration Statements other than the Registrable Instruments. The Company shall not file any other registration statements until all Registrable Instruments are registered pursuant to a Registration Statement that is declared effective by the Commission, provided that this Section 6(b) shall not prohibit the Company from filing amendments to registration statements filed prior to the date of this Agreement so long as no new securities are registered on any such existing registration statements.</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Discontinued Disposition</w:t>
      </w:r>
      <w:r>
        <w:rPr>
          <w:rFonts w:ascii="Times New Roman;Times;Serif" w:hAnsi="Times New Roman;Times;Serif"/>
          <w:b w:val="false"/>
          <w:i w:val="false"/>
          <w:caps w:val="false"/>
          <w:smallCaps w:val="false"/>
          <w:sz w:val="20"/>
        </w:rPr>
        <w:t>. By its acquisition of Registrable Instruments, each Holder agrees that, upon receipt of a notice from the Company of the occurrence of any event of the kind described in Section 3(d)(iii) through (vi), such Holder will forthwith discontinue disposition of such Registrable Instruments under a Registration Statement until it is advised in writing (the “</w:t>
      </w:r>
      <w:r>
        <w:rPr>
          <w:rFonts w:ascii="Times New Roman;Times;Serif" w:hAnsi="Times New Roman;Times;Serif"/>
          <w:b w:val="false"/>
          <w:i w:val="false"/>
          <w:caps w:val="false"/>
          <w:smallCaps w:val="false"/>
          <w:sz w:val="20"/>
          <w:u w:val="single"/>
        </w:rPr>
        <w:t>Advice</w:t>
      </w:r>
      <w:r>
        <w:rPr>
          <w:rFonts w:ascii="Times New Roman;Times;Serif" w:hAnsi="Times New Roman;Times;Serif"/>
          <w:b w:val="false"/>
          <w:i w:val="false"/>
          <w:caps w:val="false"/>
          <w:smallCaps w:val="false"/>
          <w:sz w:val="20"/>
        </w:rPr>
        <w:t>”) by the Company that the use of the applicable Prospectus (as it may have been supplemented or amended) may be resumed. The Company will use its best efforts to ensure that the use of the Prospectus may be resumed as promptly as is practicable. The Company agrees and acknowledges that any periods during which the Holder is required to discontinue the disposition of the Registrable Instruments hereunder shall be subject to the provisions of Section 2(d).</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Amendments and Waivers</w:t>
      </w:r>
      <w:r>
        <w:rPr>
          <w:rFonts w:ascii="Times New Roman;Times;Serif" w:hAnsi="Times New Roman;Times;Serif"/>
          <w:b w:val="false"/>
          <w:i w:val="false"/>
          <w:caps w:val="false"/>
          <w:smallCaps w:val="false"/>
          <w:sz w:val="20"/>
        </w:rPr>
        <w:t xml:space="preserve">. The provisions of this Agreement, including the provisions of this sentence, may not be amended, modified or supplemented, and waivers or consents to departures from the provisions hereof may not be given, unless the same shall be in writing and signed by the Company and the Required Holders. If a Registration Statement does not register all of the Registrable Instruments pursuant to a waiver or amendment done in compliance with the previous sentence, then the number of Registrable Instruments to be registered for each Holder shall be reduced pro rata among all Holders and each Holder shall have the right to designate which of its Registrable Instruments shall be omitted from such Registration Statement. Notwithstanding the foregoing, a waiver or consent to depart from the provisions hereof with respect to a matter that relates exclusively to the rights of a Holder or some Holders and that does not directly or indirectly affect the rights of other Holders may be given only by such Holder or Holders of all of the Registrable Instruments to which such waiver or consent relates;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the provisions of this sentence may not be amended, modified, or supplemented except in accordance with the provisions of the first sentence of this Section 6(d). No consideration (other than the reimbursement of legal fees) shall be offered or paid to any Person to amend or consent to a waiver or modification of any provision of this Agreement unless the same consideration also is offered to all of the parties to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13</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Any and all notices or other communications or deliveries required or permitted to be provided hereunder shall be delivered as set forth in the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This Agreement shall inure to the benefit of and be binding upon the successors and permitted assigns of each of the parties and shall inure to the benefit of each Holder. The Company may not assign (except by merger) its rights or obligations hereunder without the prior written consent of all of the Holders of the then outstanding Registrable Instruments. Each Holder may assign their respective rights hereunder in the manner and to the Persons as permitted under Section 5.7 of the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No Inconsistent Agreements</w:t>
      </w:r>
      <w:r>
        <w:rPr>
          <w:rFonts w:ascii="Times New Roman;Times;Serif" w:hAnsi="Times New Roman;Times;Serif"/>
          <w:b w:val="false"/>
          <w:i w:val="false"/>
          <w:caps w:val="false"/>
          <w:smallCaps w:val="false"/>
          <w:sz w:val="20"/>
        </w:rPr>
        <w:t>. Neither the Company nor any of its Subsidiaries has entered, as of the date hereof, nor shall the Company or any of its Subsidiaries, on or after the date of this Agreement, enter into any agreement with respect to its securities, that would have the effect of impairing the rights granted to the Holders in this Agreement or otherwise conflicts with the provisions hereof. Neither the Company nor any of its Subsidiaries has previously entered into any agreement granting any registration rights with respect to any of its securities to any Person that have not been satisfied in full.</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Execution and Counterparts</w:t>
      </w:r>
      <w:r>
        <w:rPr>
          <w:rFonts w:ascii="Times New Roman;Times;Serif" w:hAnsi="Times New Roman;Times;Serif"/>
          <w:b w:val="false"/>
          <w:i w:val="false"/>
          <w:caps w:val="false"/>
          <w:smallCaps w:val="false"/>
          <w:sz w:val="20"/>
        </w:rPr>
        <w:t>. This Agreement may be executed in two or more counterparts, all of which when taken together shall be considered one and the same agreement and shall become effective when counterparts have been signed by each party and delivered to the other party, it being understood that both parties need not sign the same counterpart. In the event that any signature is delivered by facsimile transmission or by e-mail delivery of a “.pdf” format data file or any electronic signature complying with the U.S. federal ESIGN Act of 2000 (e.g., www.docusign.com), such signature shall create a valid and binding obligation of the party executing (or on whose behalf such signature is executed) with the same force and effect as if such facsimile or “.pdf” signature page were an original thereof.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Governing Law</w:t>
      </w:r>
      <w:r>
        <w:rPr>
          <w:rFonts w:ascii="Times New Roman;Times;Serif" w:hAnsi="Times New Roman;Times;Serif"/>
          <w:b w:val="false"/>
          <w:i w:val="false"/>
          <w:caps w:val="false"/>
          <w:smallCaps w:val="false"/>
          <w:sz w:val="20"/>
        </w:rPr>
        <w:t>. All questions concerning the construction, validity, enforcement and interpretation of this Agreement shall be determined in accordance with the provisions of the Purchase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Cumulative Remedies</w:t>
      </w:r>
      <w:r>
        <w:rPr>
          <w:rFonts w:ascii="Times New Roman;Times;Serif" w:hAnsi="Times New Roman;Times;Serif"/>
          <w:b w:val="false"/>
          <w:i w:val="false"/>
          <w:caps w:val="false"/>
          <w:smallCaps w:val="false"/>
          <w:sz w:val="20"/>
        </w:rPr>
        <w:t>. The remedies provided herein are cumulative and not exclusive of any other remedies provided by law.</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14</w:t>
      </w:r>
    </w:p>
    <w:p>
      <w:pPr>
        <w:pStyle w:val="TextBody"/>
        <w:bidi w:val="0"/>
        <w:spacing w:before="0" w:after="0"/>
        <w:jc w:val="center"/>
        <w:rPr/>
      </w:pPr>
      <w:r>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The headings in this Agreement are for convenience only, do not constitute a part of the Agreement and shall not be deemed to limit or affect any of the provisions hereof.</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Independent Nature of Holders’ Obligations and Rights</w:t>
      </w:r>
      <w:r>
        <w:rPr>
          <w:rFonts w:ascii="Times New Roman;Times;Serif" w:hAnsi="Times New Roman;Times;Serif"/>
          <w:b w:val="false"/>
          <w:i w:val="false"/>
          <w:caps w:val="false"/>
          <w:smallCaps w:val="false"/>
          <w:sz w:val="20"/>
        </w:rPr>
        <w:t>. The obligations of each Holder hereunder are several and not joint with the obligations of any other Holder hereunder, and no Holder shall be responsible in any way for the performance of the obligations of any other Holder hereunder. Nothing contained herein or in any other agreement or document delivered at any closing, and no action taken by any Holder pursuant hereto or thereto, shall be deemed to constitute the Holders as a partnership, an association, a joint venture or any other kind of group or entity, or create a presumption that the Holders are in any way acting in concert or as a group or entity with respect to such obligations or the transactions contemplated by this Agreement or any other matters, and the Company acknowledges that the Holders are not acting in concert or as a group, and the Company shall not assert any such claim, with respect to such obligations or transactions. Each Holder shall be entitled to protect and enforce its rights, including without limitation the rights arising out of this Agreement, and it shall not be necessary for any other Holder to be joined as an additional party in any proceeding for such purpose. The use of a single agreement with respect to the obligations of the Company contained was solely in the control of the Company, not the action or decision of any Holder, and was done solely for the convenience of the Company and not because it was required or requested to do so by any Holder. It is expressly understood and agreed that each provision contained in this Agreement is between the Company and a Holder, solely, and not between the Company and the Holders collectively and not between and among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15</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have executed this Registration Rights Agreement as of the date first written above.</w:t>
      </w:r>
    </w:p>
    <w:p>
      <w:pPr>
        <w:pStyle w:val="TextBody"/>
        <w:bidi w:val="0"/>
        <w:spacing w:before="0" w:after="0"/>
        <w:ind w:left="0" w:right="0" w:hanging="0"/>
        <w:jc w:val="left"/>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75"/>
        <w:gridCol w:w="635"/>
        <w:gridCol w:w="2234"/>
      </w:tblGrid>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BRAG HOUSE HOLDINGS, INC.</w:t>
            </w:r>
          </w:p>
        </w:tc>
      </w:tr>
      <w:tr>
        <w:trPr/>
        <w:tc>
          <w:tcPr>
            <w:tcW w:w="75" w:type="dxa"/>
            <w:tcBorders/>
            <w:vAlign w:val="center"/>
          </w:tcPr>
          <w:p>
            <w:pPr>
              <w:pStyle w:val="TableContents"/>
              <w:bidi w:val="0"/>
              <w:spacing w:before="0" w:after="283"/>
              <w:jc w:val="left"/>
              <w:rPr/>
            </w:pPr>
            <w:r>
              <w:rPr/>
              <w:t> </w:t>
            </w:r>
          </w:p>
        </w:tc>
        <w:tc>
          <w:tcPr>
            <w:tcW w:w="286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r>
              <w:rPr>
                <w:rFonts w:ascii="Times New Roman;Times;Serif" w:hAnsi="Times New Roman;Times;Serif"/>
                <w:i/>
                <w:sz w:val="20"/>
              </w:rPr>
              <w:t>: </w:t>
            </w:r>
          </w:p>
        </w:tc>
        <w:tc>
          <w:tcPr>
            <w:tcW w:w="2234"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Lavell Juan Malloy, II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w:t>
            </w:r>
          </w:p>
        </w:tc>
        <w:tc>
          <w:tcPr>
            <w:tcW w:w="2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Lavell Juan Malloy, II</w:t>
            </w:r>
          </w:p>
        </w:tc>
      </w:tr>
      <w:tr>
        <w:trPr/>
        <w:tc>
          <w:tcPr>
            <w:tcW w:w="7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23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OF HOLDERS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OF HOLDERS TO TBH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Holder: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Holder</w:t>
      </w:r>
      <w:r>
        <w:rPr>
          <w:rFonts w:ascii="Times New Roman;Times;Serif" w:hAnsi="Times New Roman;Times;Serif"/>
          <w:b w:val="false"/>
          <w:i w:val="false"/>
          <w:caps w:val="false"/>
          <w:smallCaps w:val="false"/>
          <w:sz w:val="20"/>
        </w:rPr>
        <w:t>: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OF HOLDERS TO TBH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Holder: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Holder</w:t>
      </w:r>
      <w:r>
        <w:rPr>
          <w:rFonts w:ascii="Times New Roman;Times;Serif" w:hAnsi="Times New Roman;Times;Serif"/>
          <w:b w:val="false"/>
          <w:i w:val="false"/>
          <w:caps w:val="false"/>
          <w:smallCaps w:val="false"/>
          <w:sz w:val="20"/>
        </w:rPr>
        <w:t>: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val="false"/>
          <w:i w:val="false"/>
          <w:caps/>
          <w:sz w:val="20"/>
        </w:rPr>
      </w:pPr>
      <w:r>
        <w:rPr>
          <w:rFonts w:ascii="Times New Roman;Times;Serif" w:hAnsi="Times New Roman;Times;Serif"/>
          <w:b w:val="false"/>
          <w:i w:val="false"/>
          <w:caps/>
          <w:sz w:val="20"/>
        </w:rPr>
        <w:t>[SIGNATURE PAGE OF HOLDERS TO TBH REGISTRATION RIGHTS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Holder: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Signature of Authorized Signatory of Holder</w:t>
      </w:r>
      <w:r>
        <w:rPr>
          <w:rFonts w:ascii="Times New Roman;Times;Serif" w:hAnsi="Times New Roman;Times;Serif"/>
          <w:b w:val="false"/>
          <w:i w:val="false"/>
          <w:caps w:val="false"/>
          <w:smallCaps w:val="false"/>
          <w:sz w:val="20"/>
        </w:rPr>
        <w:t>: 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Authorized Signatory: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Authorized Signatory: [***]</w:t>
      </w:r>
    </w:p>
    <w:p>
      <w:pPr>
        <w:pStyle w:val="TextBody"/>
        <w:bidi w:val="0"/>
        <w:spacing w:before="0" w:after="0"/>
        <w:ind w:left="720" w:right="0" w:firstLine="144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CONTINUE]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bdr w:val="single" w:sz="12" w:space="1" w:color="000000"/>
        </w:rPr>
      </w:pPr>
      <w:r>
        <w:rPr>
          <w:bdr w:val="single" w:sz="12" w:space="1" w:color="000000"/>
        </w:rPr>
        <w:t> </w:t>
      </w:r>
    </w:p>
    <w:p>
      <w:pPr>
        <w:pStyle w:val="TextBody"/>
        <w:bidi w:val="0"/>
        <w:spacing w:before="0" w:after="0"/>
        <w:jc w:val="center"/>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Selling Stockholder (the “</w:t>
      </w:r>
      <w:r>
        <w:rPr>
          <w:rFonts w:ascii="Times New Roman;Times;Serif" w:hAnsi="Times New Roman;Times;Serif"/>
          <w:b w:val="false"/>
          <w:i w:val="false"/>
          <w:caps w:val="false"/>
          <w:smallCaps w:val="false"/>
          <w:sz w:val="20"/>
          <w:u w:val="single"/>
        </w:rPr>
        <w:t>Selling Stockholders</w:t>
      </w:r>
      <w:r>
        <w:rPr>
          <w:rFonts w:ascii="Times New Roman;Times;Serif" w:hAnsi="Times New Roman;Times;Serif"/>
          <w:b w:val="false"/>
          <w:i w:val="false"/>
          <w:caps w:val="false"/>
          <w:smallCaps w:val="false"/>
          <w:sz w:val="20"/>
        </w:rPr>
        <w:t>”) of the securities and any of their pledgees, assignees and successors-in-interest may, from time to time, sell any or all of their securities covered hereby on the principal Trading Market or any other stock exchange, market or trading facility on which the securities are traded or in private transactions. These sales may be at fixed or negotiated prices. A Selling Stockholder may use any one or more of the following methods when selling securities:</w:t>
      </w:r>
    </w:p>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brokerage transactions and transactions in which the broker-dealer solicits purchasers;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block trades in which the broker-dealer will attempt to sell the securities as agent but may position and resell a portion of the block as principal to facilitate the transaction;</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2"/>
        <w:gridCol w:w="237"/>
        <w:gridCol w:w="9916"/>
      </w:tblGrid>
      <w:tr>
        <w:trPr/>
        <w:tc>
          <w:tcPr>
            <w:tcW w:w="5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pPr>
            <w:r>
              <w:rPr/>
              <w:t>●</w:t>
            </w:r>
          </w:p>
        </w:tc>
        <w:tc>
          <w:tcPr>
            <w:tcW w:w="99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purchases by a broker-dealer as principal and resale by the broker-dealer for its account;</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252"/>
        <w:gridCol w:w="9897"/>
      </w:tblGrid>
      <w:tr>
        <w:trPr/>
        <w:tc>
          <w:tcPr>
            <w:tcW w:w="5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pPr>
            <w:r>
              <w:rPr/>
              <w:t>●</w:t>
            </w:r>
          </w:p>
        </w:tc>
        <w:tc>
          <w:tcPr>
            <w:tcW w:w="989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 exchange distribution in accordance with the rules of the applicable exchange;</w:t>
            </w:r>
          </w:p>
        </w:tc>
      </w:tr>
    </w:tbl>
    <w:p>
      <w:pPr>
        <w:pStyle w:val="TextBody"/>
        <w:bidi w:val="0"/>
        <w:spacing w:before="0" w:after="0"/>
        <w:ind w:left="1440" w:right="0" w:hanging="36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40"/>
        <w:gridCol w:w="628"/>
        <w:gridCol w:w="9437"/>
      </w:tblGrid>
      <w:tr>
        <w:trPr/>
        <w:tc>
          <w:tcPr>
            <w:tcW w:w="140"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pPr>
            <w:r>
              <w:rPr/>
              <w:t>●</w:t>
            </w:r>
          </w:p>
        </w:tc>
        <w:tc>
          <w:tcPr>
            <w:tcW w:w="943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the over-the-counter market;</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219"/>
        <w:gridCol w:w="9938"/>
      </w:tblGrid>
      <w:tr>
        <w:trPr/>
        <w:tc>
          <w:tcPr>
            <w:tcW w:w="4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transactions otherwise than on these exchanges or systems or in the over-the-counter market;</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30"/>
        <w:gridCol w:w="583"/>
        <w:gridCol w:w="9492"/>
      </w:tblGrid>
      <w:tr>
        <w:trPr/>
        <w:tc>
          <w:tcPr>
            <w:tcW w:w="130"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pPr>
            <w:r>
              <w:rPr/>
              <w:t>●</w:t>
            </w:r>
          </w:p>
        </w:tc>
        <w:tc>
          <w:tcPr>
            <w:tcW w:w="94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privately negotiated transactions;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3"/>
        <w:gridCol w:w="775"/>
        <w:gridCol w:w="9257"/>
      </w:tblGrid>
      <w:tr>
        <w:trPr/>
        <w:tc>
          <w:tcPr>
            <w:tcW w:w="173"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pPr>
            <w:r>
              <w:rPr/>
              <w:t>●</w:t>
            </w:r>
          </w:p>
        </w:tc>
        <w:tc>
          <w:tcPr>
            <w:tcW w:w="92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settlement of short sales;</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 transactions through broker-dealers that agree with the Selling Stockholders to sell a specified number of such securities at a stipulated price per security;</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0"/>
        <w:gridCol w:w="9998"/>
      </w:tblGrid>
      <w:tr>
        <w:trPr/>
        <w:tc>
          <w:tcPr>
            <w:tcW w:w="37"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pPr>
            <w:r>
              <w:rPr/>
              <w:t>●</w:t>
            </w:r>
          </w:p>
        </w:tc>
        <w:tc>
          <w:tcPr>
            <w:tcW w:w="999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through the writing or settlement of options or other hedging transactions, whether through an options exchange or otherwise;</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7"/>
        <w:gridCol w:w="438"/>
        <w:gridCol w:w="9670"/>
      </w:tblGrid>
      <w:tr>
        <w:trPr/>
        <w:tc>
          <w:tcPr>
            <w:tcW w:w="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pPr>
            <w:r>
              <w:rPr/>
              <w:t>●</w:t>
            </w:r>
          </w:p>
        </w:tc>
        <w:tc>
          <w:tcPr>
            <w:tcW w:w="96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 combination of any such methods of sale; or</w:t>
            </w:r>
          </w:p>
        </w:tc>
      </w:tr>
    </w:tbl>
    <w:p>
      <w:pPr>
        <w:pStyle w:val="TextBody"/>
        <w:bidi w:val="0"/>
        <w:spacing w:before="0" w:after="0"/>
        <w:ind w:left="1440" w:right="0" w:hanging="3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1"/>
        <w:gridCol w:w="367"/>
        <w:gridCol w:w="9757"/>
      </w:tblGrid>
      <w:tr>
        <w:trPr/>
        <w:tc>
          <w:tcPr>
            <w:tcW w:w="8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pPr>
            <w:r>
              <w:rPr/>
              <w:t>●</w:t>
            </w:r>
          </w:p>
        </w:tc>
        <w:tc>
          <w:tcPr>
            <w:tcW w:w="975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may also sell securities under Rule 144 or any other exemption from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if available, rather than under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A-1</w:t>
      </w:r>
    </w:p>
    <w:p>
      <w:pPr>
        <w:pStyle w:val="TextBody"/>
        <w:bidi w:val="0"/>
        <w:spacing w:before="0" w:after="0"/>
        <w:jc w:val="center"/>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engaged by the Selling Stockholders may arrange for other broker-dealers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or interests therein, the Selling Stockholders may enter into hedging transactions with broker-dealers or other financial institutions, which may in turn engage in short sales of the securities in the course of hedging the positions they assume. The Selling Stockholders may also sell securities short and deliver these securities to close out their short positions, or loan or pledge the securities to broker-dealers that in turn may sell these securities. The Selling Stockholders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Stockholder has informed the Company that it does not have any written or oral agreement or understanding, directly or indirectly, with any person to distribute the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required to pay certain fees and expenses incurred by the Company incident to the registration of the securities. The Company has agreed to indemnify the Selling Stockholders against certain losses, claims, damages and liabilities, including liabilities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agreed to keep this prospectus effective until the earlier of (i) the date on which the securities may be resold by the Selling Stockholders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A-2</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being offered by the selling shareholders are those held by the selling shareholders or issuable to the selling shareholders upon conversion of the notes. For additional information regarding the issuances of the commitment shares and those shares of common stock underlying the notes, see “Private Placement of Commitment Shares and Notes” above. We are registering the commitment shares and the shares of common stock underlying the notes in order to permit the selling shareholders to offer the shares for resale from time to time. Except for the ownership of the commitment shares and notes, the selling shareholders have not had any material relationship with us within the past three years.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shareholders and other information regarding the beneficial ownership of the shares of common stock by each of the selling shareholders. The second column lists the number of shares of common stock beneficially owned by each selling shareholder, based on its ownership of the commitment shares and notes, as of ________, 2026, assuming conversion of the notes held by the selling shareholders on that date, without regard to any limitations on conversions.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third column lists the shares of common stock being offered by this prospectus by the selling shareholders.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shareholders, this prospectus generally covers the resale of the sum of (i) the maximum number of shares of common stock issuable upon conversion of the notes, determined as if the outstanding notes were converted in full and (ii) the commitment shares, each as of the trading day immediately preceding the applicable date of determination and all subject to adjustment as provided in the registration right agreement, without regard to any limitations on the conversion of the notes. The fourth column assumes the sale of all of the shares offered by the selling shareholders pursuant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notes, a selling shareholder may not convert the notes to the extent such conversion would cause such selling shareholder, together with its affiliates and attribution parties, to beneficially own a number of shares of common stock which would exceed 4.99% or 9.99% (as applicable) of our then outstanding common stock following such conversion, excluding for purposes of such determination shares of common stock issuable upon conversion of such notes which have not been converted or exercised. The number of shares in the second and fourth columns do not reflect these limitations. The selling shareholders may sell all, some or none of their shares in this offering. See “Plan of Distribution.”</w:t>
      </w:r>
    </w:p>
    <w:p>
      <w:pPr>
        <w:pStyle w:val="TextBody"/>
        <w:bidi w:val="0"/>
        <w:spacing w:before="0" w:after="0"/>
        <w:ind w:left="0" w:right="0" w:firstLine="720"/>
        <w:jc w:val="both"/>
        <w:rPr>
          <w:caps w:val="false"/>
          <w:smallCaps w:val="false"/>
        </w:rPr>
      </w:pPr>
      <w:r>
        <w:rPr>
          <w:caps w:val="false"/>
          <w:smallCaps w:val="false"/>
        </w:rPr>
        <w:t> </w:t>
      </w:r>
    </w:p>
    <w:tbl>
      <w:tblPr>
        <w:tblW w:w="8163" w:type="dxa"/>
        <w:jc w:val="left"/>
        <w:tblInd w:w="0" w:type="dxa"/>
        <w:tblLayout w:type="fixed"/>
        <w:tblCellMar>
          <w:top w:w="0" w:type="dxa"/>
          <w:left w:w="0" w:type="dxa"/>
          <w:bottom w:w="28" w:type="dxa"/>
          <w:right w:w="0" w:type="dxa"/>
        </w:tblCellMar>
      </w:tblPr>
      <w:tblGrid>
        <w:gridCol w:w="2945"/>
        <w:gridCol w:w="60"/>
        <w:gridCol w:w="804"/>
        <w:gridCol w:w="805"/>
        <w:gridCol w:w="60"/>
        <w:gridCol w:w="60"/>
        <w:gridCol w:w="820"/>
        <w:gridCol w:w="820"/>
        <w:gridCol w:w="60"/>
        <w:gridCol w:w="60"/>
        <w:gridCol w:w="796"/>
        <w:gridCol w:w="798"/>
        <w:gridCol w:w="75"/>
      </w:tblGrid>
      <w:tr>
        <w:trPr/>
        <w:tc>
          <w:tcPr>
            <w:tcW w:w="2945" w:type="dxa"/>
            <w:tcBorders>
              <w:bottom w:val="single" w:sz="12" w:space="0" w:color="000000"/>
            </w:tcBorders>
            <w:vAlign w:val="center"/>
          </w:tcPr>
          <w:p>
            <w:pPr>
              <w:pStyle w:val="TableContents"/>
              <w:bidi w:val="0"/>
              <w:spacing w:before="0" w:after="283"/>
              <w:jc w:val="left"/>
              <w:rPr>
                <w:b/>
              </w:rPr>
            </w:pPr>
            <w:r>
              <w:rPr>
                <w:b/>
              </w:rPr>
              <w:t>Name of Selling Shareholder</w:t>
            </w:r>
          </w:p>
        </w:tc>
        <w:tc>
          <w:tcPr>
            <w:tcW w:w="60" w:type="dxa"/>
            <w:tcBorders/>
            <w:tcMar>
              <w:bottom w:w="0" w:type="dxa"/>
            </w:tcMar>
            <w:vAlign w:val="center"/>
          </w:tcPr>
          <w:p>
            <w:pPr>
              <w:pStyle w:val="TableContents"/>
              <w:bidi w:val="0"/>
              <w:spacing w:before="0" w:after="283"/>
              <w:jc w:val="left"/>
              <w:rPr/>
            </w:pPr>
            <w:r>
              <w:rPr/>
              <w:t> </w:t>
            </w:r>
          </w:p>
        </w:tc>
        <w:tc>
          <w:tcPr>
            <w:tcW w:w="1609" w:type="dxa"/>
            <w:gridSpan w:val="2"/>
            <w:tcBorders>
              <w:bottom w:val="single" w:sz="12" w:space="0" w:color="000000"/>
            </w:tcBorders>
            <w:vAlign w:val="center"/>
          </w:tcPr>
          <w:p>
            <w:pPr>
              <w:pStyle w:val="TableContents"/>
              <w:bidi w:val="0"/>
              <w:spacing w:before="0" w:after="283"/>
              <w:jc w:val="center"/>
              <w:rPr>
                <w:b/>
              </w:rPr>
            </w:pPr>
            <w:r>
              <w:rPr>
                <w:b/>
              </w:rPr>
              <w:t>Number of</w:t>
              <w:br/>
              <w:t>shares of</w:t>
              <w:br/>
              <w:t>Common Stock</w:t>
              <w:br/>
              <w:t>Owned Prior to</w:t>
              <w:br/>
              <w:t>Offering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12" w:space="0" w:color="000000"/>
            </w:tcBorders>
            <w:vAlign w:val="center"/>
          </w:tcPr>
          <w:p>
            <w:pPr>
              <w:pStyle w:val="TableContents"/>
              <w:bidi w:val="0"/>
              <w:spacing w:before="0" w:after="283"/>
              <w:jc w:val="center"/>
              <w:rPr>
                <w:b/>
              </w:rPr>
            </w:pPr>
            <w:r>
              <w:rPr>
                <w:b/>
              </w:rPr>
              <w:t>Maximum</w:t>
              <w:br/>
              <w:t>Number of</w:t>
              <w:br/>
              <w:t>shares of</w:t>
              <w:br/>
              <w:t>Common Stock</w:t>
              <w:br/>
              <w:t>to be Sold</w:t>
              <w:br/>
              <w:t>Pursuant to this</w:t>
              <w:br/>
              <w:t>Prospectus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12" w:space="0" w:color="000000"/>
            </w:tcBorders>
            <w:vAlign w:val="center"/>
          </w:tcPr>
          <w:p>
            <w:pPr>
              <w:pStyle w:val="TableContents"/>
              <w:bidi w:val="0"/>
              <w:spacing w:before="0" w:after="283"/>
              <w:jc w:val="center"/>
              <w:rPr>
                <w:b/>
              </w:rPr>
            </w:pPr>
            <w:r>
              <w:rPr>
                <w:b/>
              </w:rPr>
              <w:t>Number of</w:t>
              <w:br/>
              <w:t>shares of</w:t>
              <w:br/>
              <w:t>Common Stock</w:t>
              <w:br/>
              <w:t>Owned After</w:t>
              <w:br/>
              <w:t>Offering</w:t>
            </w:r>
          </w:p>
        </w:tc>
        <w:tc>
          <w:tcPr>
            <w:tcW w:w="75" w:type="dxa"/>
            <w:tcBorders/>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6" w:type="dxa"/>
            <w:tcBorders/>
            <w:shd w:fill="FFFFFF" w:val="clear"/>
            <w:tcMar>
              <w:bottom w:w="0" w:type="dxa"/>
            </w:tcMar>
            <w:vAlign w:val="center"/>
          </w:tcPr>
          <w:p>
            <w:pPr>
              <w:pStyle w:val="TableContents"/>
              <w:bidi w:val="0"/>
              <w:spacing w:before="0" w:after="283"/>
              <w:jc w:val="left"/>
              <w:rPr/>
            </w:pPr>
            <w:r>
              <w:rPr/>
              <w:t> </w:t>
            </w:r>
          </w:p>
        </w:tc>
        <w:tc>
          <w:tcPr>
            <w:tcW w:w="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94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4" w:type="dxa"/>
            <w:tcBorders/>
            <w:shd w:fill="FFFFFF" w:val="clear"/>
            <w:tcMar>
              <w:bottom w:w="0" w:type="dxa"/>
            </w:tcMar>
            <w:vAlign w:val="center"/>
          </w:tcPr>
          <w:p>
            <w:pPr>
              <w:pStyle w:val="TableContents"/>
              <w:bidi w:val="0"/>
              <w:spacing w:before="0" w:after="283"/>
              <w:jc w:val="left"/>
              <w:rPr/>
            </w:pPr>
            <w:r>
              <w:rPr/>
              <w:t> </w:t>
            </w:r>
          </w:p>
        </w:tc>
        <w:tc>
          <w:tcPr>
            <w:tcW w:w="805"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left"/>
              <w:rPr/>
            </w:pPr>
            <w:r>
              <w:rPr/>
              <w:t> </w:t>
            </w:r>
          </w:p>
        </w:tc>
        <w:tc>
          <w:tcPr>
            <w:tcW w:w="82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96" w:type="dxa"/>
            <w:tcBorders/>
            <w:shd w:fill="FFFFFF" w:val="clear"/>
            <w:tcMar>
              <w:bottom w:w="0" w:type="dxa"/>
            </w:tcMar>
            <w:vAlign w:val="center"/>
          </w:tcPr>
          <w:p>
            <w:pPr>
              <w:pStyle w:val="TableContents"/>
              <w:bidi w:val="0"/>
              <w:spacing w:before="0" w:after="283"/>
              <w:jc w:val="left"/>
              <w:rPr/>
            </w:pPr>
            <w:r>
              <w:rPr/>
              <w:t> </w:t>
            </w:r>
          </w:p>
        </w:tc>
        <w:tc>
          <w:tcPr>
            <w:tcW w:w="798"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94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4" w:type="dxa"/>
            <w:tcBorders/>
            <w:shd w:fill="CCEEFF" w:val="clear"/>
            <w:tcMar>
              <w:bottom w:w="0" w:type="dxa"/>
            </w:tcMar>
            <w:vAlign w:val="center"/>
          </w:tcPr>
          <w:p>
            <w:pPr>
              <w:pStyle w:val="TableContents"/>
              <w:bidi w:val="0"/>
              <w:spacing w:before="0" w:after="283"/>
              <w:jc w:val="left"/>
              <w:rPr/>
            </w:pPr>
            <w:r>
              <w:rPr/>
              <w:t> </w:t>
            </w:r>
          </w:p>
        </w:tc>
        <w:tc>
          <w:tcPr>
            <w:tcW w:w="805"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left"/>
              <w:rPr/>
            </w:pPr>
            <w:r>
              <w:rPr/>
              <w:t> </w:t>
            </w:r>
          </w:p>
        </w:tc>
        <w:tc>
          <w:tcPr>
            <w:tcW w:w="82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96" w:type="dxa"/>
            <w:tcBorders/>
            <w:shd w:fill="CCEEFF" w:val="clear"/>
            <w:tcMar>
              <w:bottom w:w="0" w:type="dxa"/>
            </w:tcMar>
            <w:vAlign w:val="center"/>
          </w:tcPr>
          <w:p>
            <w:pPr>
              <w:pStyle w:val="TableContents"/>
              <w:bidi w:val="0"/>
              <w:spacing w:before="0" w:after="283"/>
              <w:jc w:val="left"/>
              <w:rPr/>
            </w:pPr>
            <w:r>
              <w:rPr/>
              <w:t> </w:t>
            </w:r>
          </w:p>
        </w:tc>
        <w:tc>
          <w:tcPr>
            <w:tcW w:w="79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A-3</w:t>
      </w:r>
    </w:p>
    <w:p>
      <w:pPr>
        <w:pStyle w:val="TextBody"/>
        <w:bidi w:val="0"/>
        <w:spacing w:before="0" w:after="0"/>
        <w:jc w:val="center"/>
        <w:rPr/>
      </w:pPr>
      <w:r>
        <w:rPr/>
        <w:t> </w:t>
      </w:r>
    </w:p>
    <w:p>
      <w:pPr>
        <w:pStyle w:val="TextBody"/>
        <w:bidi w:val="0"/>
        <w:spacing w:before="0" w:after="0"/>
        <w:ind w:left="0" w:right="0" w:firstLine="720"/>
        <w:jc w:val="right"/>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C</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BRAG HOUSE HOLDINGS,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Stockholder Notice and Questionnaire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of Commitment Shares and shares of common stock issuable upon conversion of the Notes (collectively, the “</w:t>
      </w:r>
      <w:r>
        <w:rPr>
          <w:rFonts w:ascii="Times New Roman;Times;Serif" w:hAnsi="Times New Roman;Times;Serif"/>
          <w:b w:val="false"/>
          <w:i w:val="false"/>
          <w:caps w:val="false"/>
          <w:smallCaps w:val="false"/>
          <w:sz w:val="20"/>
          <w:u w:val="single"/>
        </w:rPr>
        <w:t>Registrable Instruments</w:t>
      </w:r>
      <w:r>
        <w:rPr>
          <w:rFonts w:ascii="Times New Roman;Times;Serif" w:hAnsi="Times New Roman;Times;Serif"/>
          <w:b w:val="false"/>
          <w:i w:val="false"/>
          <w:caps w:val="false"/>
          <w:smallCaps w:val="false"/>
          <w:sz w:val="20"/>
        </w:rPr>
        <w:t>”) of Brag House Holdings,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understands that the Company has filed or intends to file with the Securities and Exchange Commission (the “</w:t>
      </w:r>
      <w:r>
        <w:rPr>
          <w:rFonts w:ascii="Times New Roman;Times;Serif" w:hAnsi="Times New Roman;Times;Serif"/>
          <w:b w:val="false"/>
          <w:i w:val="false"/>
          <w:caps w:val="false"/>
          <w:smallCaps w:val="false"/>
          <w:sz w:val="20"/>
          <w:u w:val="single"/>
        </w:rPr>
        <w:t>Commission</w:t>
      </w:r>
      <w:r>
        <w:rPr>
          <w:rFonts w:ascii="Times New Roman;Times;Serif" w:hAnsi="Times New Roman;Times;Serif"/>
          <w:b w:val="false"/>
          <w:i w:val="false"/>
          <w:caps w:val="false"/>
          <w:smallCaps w:val="false"/>
          <w:sz w:val="20"/>
        </w:rPr>
        <w:t>”) a registration statement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for the registration and resale under Rule 415 of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of the Registrable Instruments, in accordance with the terms of the Registration Rights Agreement (the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to which this document is annexed. A copy of the Registration Rights Agreement is available from the Company upon request at the address set forth below. All capitalized terms not otherwise defined herein shall have the meanings ascribed thereto in the Registration Rights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legal consequences arise from being named as a selling stockholder in the Registration Statement and the related prospectus. Accordingly, holders and beneficial owners of Registrable Instruments are advised to consult their own securities law counsel regarding the consequences of being named or not being named as a selling stockholder in the Registration Statement and the related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beneficial owner (the “</w:t>
      </w:r>
      <w:r>
        <w:rPr>
          <w:rFonts w:ascii="Times New Roman;Times;Serif" w:hAnsi="Times New Roman;Times;Serif"/>
          <w:b w:val="false"/>
          <w:i w:val="false"/>
          <w:caps w:val="false"/>
          <w:smallCaps w:val="false"/>
          <w:sz w:val="20"/>
          <w:u w:val="single"/>
        </w:rPr>
        <w:t>Selling Stockholder</w:t>
      </w:r>
      <w:r>
        <w:rPr>
          <w:rFonts w:ascii="Times New Roman;Times;Serif" w:hAnsi="Times New Roman;Times;Serif"/>
          <w:b w:val="false"/>
          <w:i w:val="false"/>
          <w:caps w:val="false"/>
          <w:smallCaps w:val="false"/>
          <w:sz w:val="20"/>
        </w:rPr>
        <w:t>”) of Registrable Instruments hereby elects to include the Registrable Instruments owned by it in the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C-1</w:t>
      </w:r>
    </w:p>
    <w:p>
      <w:pPr>
        <w:pStyle w:val="TextBody"/>
        <w:bidi w:val="0"/>
        <w:spacing w:before="0" w:after="0"/>
        <w:jc w:val="center"/>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hereby provides the following information to the Company and represents and warrants that such information is accurate: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QUESTIONNAIRE</w:t>
      </w:r>
    </w:p>
    <w:p>
      <w:pPr>
        <w:pStyle w:val="TextBody"/>
        <w:bidi w:val="0"/>
        <w:spacing w:before="0" w:after="0"/>
        <w:ind w:left="1440" w:right="0" w:hanging="1440"/>
        <w:jc w:val="left"/>
        <w:rPr>
          <w:caps w:val="false"/>
          <w:smallCaps w:val="false"/>
        </w:rPr>
      </w:pPr>
      <w:r>
        <w:rPr>
          <w:caps w:val="false"/>
          <w:smallCaps w:val="false"/>
        </w:rPr>
        <w:t> </w:t>
      </w:r>
    </w:p>
    <w:tbl>
      <w:tblPr>
        <w:tblW w:w="760" w:type="dxa"/>
        <w:jc w:val="left"/>
        <w:tblInd w:w="0" w:type="dxa"/>
        <w:tblLayout w:type="fixed"/>
        <w:tblCellMar>
          <w:top w:w="0" w:type="dxa"/>
          <w:left w:w="0" w:type="dxa"/>
          <w:bottom w:w="0" w:type="dxa"/>
          <w:right w:w="0" w:type="dxa"/>
        </w:tblCellMar>
      </w:tblPr>
      <w:tblGrid>
        <w:gridCol w:w="185"/>
        <w:gridCol w:w="57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w:t>
            </w:r>
          </w:p>
        </w:tc>
        <w:tc>
          <w:tcPr>
            <w:tcW w:w="5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Name.</w:t>
            </w:r>
          </w:p>
        </w:tc>
      </w:tr>
    </w:tbl>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09"/>
        <w:gridCol w:w="666"/>
        <w:gridCol w:w="9430"/>
      </w:tblGrid>
      <w:tr>
        <w:trPr/>
        <w:tc>
          <w:tcPr>
            <w:tcW w:w="109"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4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Legal Name of Selling Stockholder</w:t>
            </w:r>
          </w:p>
        </w:tc>
      </w:tr>
    </w:tbl>
    <w:p>
      <w:pPr>
        <w:pStyle w:val="TextBody"/>
        <w:bidi w:val="0"/>
        <w:spacing w:before="0" w:after="283"/>
        <w:jc w:val="left"/>
        <w:rPr/>
      </w:pPr>
      <w:r>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9"/>
        <w:gridCol w:w="258"/>
        <w:gridCol w:w="9908"/>
      </w:tblGrid>
      <w:tr>
        <w:trPr/>
        <w:tc>
          <w:tcPr>
            <w:tcW w:w="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0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Legal Name of Registered Holder (if not the same as (a) above) through which Registrable Instruments are held:</w:t>
            </w:r>
          </w:p>
        </w:tc>
      </w:tr>
    </w:tbl>
    <w:p>
      <w:pPr>
        <w:pStyle w:val="TextBody"/>
        <w:bidi w:val="0"/>
        <w:spacing w:before="0" w:after="283"/>
        <w:jc w:val="left"/>
        <w:rPr/>
      </w:pPr>
      <w:r>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Full Legal Name of Natural Control Person (which means a natural person who directly or indirectly alone or with others has power to vote or dispose of the securities covered by this Questionnaire):</w:t>
            </w:r>
          </w:p>
        </w:tc>
      </w:tr>
    </w:tbl>
    <w:p>
      <w:pPr>
        <w:pStyle w:val="TextBody"/>
        <w:bidi w:val="0"/>
        <w:spacing w:before="0" w:after="283"/>
        <w:jc w:val="left"/>
        <w:rPr/>
      </w:pPr>
      <w:r>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000" w:type="pct"/>
        <w:jc w:val="left"/>
        <w:tblInd w:w="0" w:type="dxa"/>
        <w:tblLayout w:type="fixed"/>
        <w:tblCellMar>
          <w:top w:w="0" w:type="dxa"/>
          <w:left w:w="0" w:type="dxa"/>
          <w:bottom w:w="0" w:type="dxa"/>
          <w:right w:w="0" w:type="dxa"/>
        </w:tblCellMar>
      </w:tblPr>
      <w:tblGrid>
        <w:gridCol w:w="100"/>
        <w:gridCol w:w="452"/>
        <w:gridCol w:w="9653"/>
      </w:tblGrid>
      <w:tr>
        <w:trPr/>
        <w:tc>
          <w:tcPr>
            <w:tcW w:w="100"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2.</w:t>
            </w:r>
          </w:p>
        </w:tc>
        <w:tc>
          <w:tcPr>
            <w:tcW w:w="9653"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Address for Notices to Selling Stockholder:</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28" w:type="dxa"/>
          <w:right w:w="0" w:type="dxa"/>
        </w:tblCellMar>
      </w:tblPr>
      <w:tblGrid>
        <w:gridCol w:w="90"/>
      </w:tblGrid>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bottom w:val="single" w:sz="8" w:space="0" w:color="000000"/>
            </w:tcBorders>
            <w:vAlign w:val="center"/>
          </w:tcPr>
          <w:p>
            <w:pPr>
              <w:pStyle w:val="TableContents"/>
              <w:bidi w:val="0"/>
              <w:spacing w:before="0" w:after="283"/>
              <w:jc w:val="left"/>
              <w:rPr/>
            </w:pPr>
            <w:r>
              <w:rPr/>
              <w:t> </w:t>
            </w:r>
          </w:p>
        </w:tc>
      </w:tr>
      <w:tr>
        <w:trPr/>
        <w:tc>
          <w:tcPr>
            <w:tcW w:w="90" w:type="dxa"/>
            <w:tcBorders>
              <w:bottom w:val="single" w:sz="8" w:space="0" w:color="000000"/>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400" w:type="dxa"/>
        <w:jc w:val="left"/>
        <w:tblInd w:w="0" w:type="dxa"/>
        <w:tblLayout w:type="fixed"/>
        <w:tblCellMar>
          <w:top w:w="0" w:type="dxa"/>
          <w:left w:w="0" w:type="dxa"/>
          <w:bottom w:w="0" w:type="dxa"/>
          <w:right w:w="0" w:type="dxa"/>
        </w:tblCellMar>
      </w:tblPr>
      <w:tblGrid>
        <w:gridCol w:w="1325"/>
        <w:gridCol w:w="75"/>
      </w:tblGrid>
      <w:tr>
        <w:trPr/>
        <w:tc>
          <w:tcPr>
            <w:tcW w:w="1325" w:type="dxa"/>
            <w:tcBorders/>
            <w:vAlign w:val="center"/>
          </w:tcPr>
          <w:p>
            <w:pPr>
              <w:pStyle w:val="TableContents"/>
              <w:bidi w:val="0"/>
              <w:spacing w:before="0" w:after="283"/>
              <w:jc w:val="left"/>
              <w:rPr>
                <w:sz w:val="20"/>
              </w:rPr>
            </w:pPr>
            <w:r>
              <w:rPr>
                <w:sz w:val="20"/>
              </w:rPr>
              <w:t>Telephone:</w:t>
            </w:r>
          </w:p>
        </w:tc>
        <w:tc>
          <w:tcPr>
            <w:tcW w:w="75" w:type="dxa"/>
            <w:tcBorders/>
            <w:vAlign w:val="center"/>
          </w:tcPr>
          <w:p>
            <w:pPr>
              <w:pStyle w:val="TableContents"/>
              <w:bidi w:val="0"/>
              <w:spacing w:before="0" w:after="283"/>
              <w:jc w:val="left"/>
              <w:rPr/>
            </w:pPr>
            <w:r>
              <w:rPr/>
              <w:t> </w:t>
            </w:r>
          </w:p>
        </w:tc>
      </w:tr>
      <w:tr>
        <w:trPr/>
        <w:tc>
          <w:tcPr>
            <w:tcW w:w="132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20"/>
              </w:rPr>
            </w:pPr>
            <w:r>
              <w:rPr>
                <w:sz w:val="20"/>
              </w:rPr>
              <w:t>Fax:</w:t>
            </w:r>
          </w:p>
        </w:tc>
        <w:tc>
          <w:tcPr>
            <w:tcW w:w="75" w:type="dxa"/>
            <w:tcBorders/>
            <w:vAlign w:val="center"/>
          </w:tcPr>
          <w:p>
            <w:pPr>
              <w:pStyle w:val="TableContents"/>
              <w:bidi w:val="0"/>
              <w:spacing w:before="0" w:after="283"/>
              <w:jc w:val="left"/>
              <w:rPr/>
            </w:pPr>
            <w:r>
              <w:rPr/>
              <w:t> </w:t>
            </w:r>
          </w:p>
        </w:tc>
      </w:tr>
      <w:tr>
        <w:trPr/>
        <w:tc>
          <w:tcPr>
            <w:tcW w:w="132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283"/>
              <w:jc w:val="left"/>
              <w:rPr>
                <w:sz w:val="20"/>
              </w:rPr>
            </w:pPr>
            <w:r>
              <w:rPr>
                <w:sz w:val="20"/>
              </w:rPr>
              <w:t>Contact Person:</w:t>
            </w:r>
          </w:p>
        </w:tc>
        <w:tc>
          <w:tcPr>
            <w:tcW w:w="75" w:type="dxa"/>
            <w:tcBorders/>
            <w:vAlign w:val="center"/>
          </w:tcPr>
          <w:p>
            <w:pPr>
              <w:pStyle w:val="TableContents"/>
              <w:bidi w:val="0"/>
              <w:spacing w:before="0" w:after="283"/>
              <w:jc w:val="left"/>
              <w:rPr/>
            </w:pPr>
            <w:r>
              <w:rPr/>
              <w:t> </w:t>
            </w:r>
          </w:p>
        </w:tc>
      </w:tr>
      <w:tr>
        <w:trPr/>
        <w:tc>
          <w:tcPr>
            <w:tcW w:w="1325" w:type="dxa"/>
            <w:tcBorders>
              <w:bottom w:val="single" w:sz="8" w:space="0" w:color="000000"/>
            </w:tcBorders>
            <w:tcMar>
              <w:bottom w:w="28" w:type="dxa"/>
            </w:tcMar>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2080" w:type="dxa"/>
        <w:jc w:val="left"/>
        <w:tblInd w:w="0" w:type="dxa"/>
        <w:tblLayout w:type="fixed"/>
        <w:tblCellMar>
          <w:top w:w="0" w:type="dxa"/>
          <w:left w:w="0" w:type="dxa"/>
          <w:bottom w:w="0" w:type="dxa"/>
          <w:right w:w="0" w:type="dxa"/>
        </w:tblCellMar>
      </w:tblPr>
      <w:tblGrid>
        <w:gridCol w:w="185"/>
        <w:gridCol w:w="189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3.</w:t>
            </w:r>
          </w:p>
        </w:tc>
        <w:tc>
          <w:tcPr>
            <w:tcW w:w="189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Broker-Dealer Status:</w:t>
            </w:r>
          </w:p>
        </w:tc>
      </w:tr>
    </w:tbl>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8"/>
        <w:gridCol w:w="1022"/>
        <w:gridCol w:w="9015"/>
      </w:tblGrid>
      <w:tr>
        <w:trPr/>
        <w:tc>
          <w:tcPr>
            <w:tcW w:w="168"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0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you a broker-dealer?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Yes ☐             No ☐</w:t>
      </w:r>
    </w:p>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8"/>
        <w:gridCol w:w="9930"/>
      </w:tblGrid>
      <w:tr>
        <w:trPr/>
        <w:tc>
          <w:tcPr>
            <w:tcW w:w="3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“yes” to Section 3(a), did you receive your Registrable Instruments as compensation for investment banking services to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Yes ☐              No ☐</w:t>
      </w:r>
    </w:p>
    <w:p>
      <w:pPr>
        <w:pStyle w:val="TextBody"/>
        <w:bidi w:val="0"/>
        <w:spacing w:before="0" w:after="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1"/>
        <w:gridCol w:w="9706"/>
      </w:tblGrid>
      <w:tr>
        <w:trPr/>
        <w:tc>
          <w:tcPr>
            <w:tcW w:w="3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to Section 3(b), the Commission’s staff has indicated that you should be identified as an underwriter in the Registration Statement.</w:t>
            </w:r>
          </w:p>
        </w:tc>
      </w:tr>
    </w:tbl>
    <w:p>
      <w:pPr>
        <w:pStyle w:val="TextBody"/>
        <w:bidi w:val="0"/>
        <w:spacing w:before="0" w:after="0"/>
        <w:ind w:left="1440" w:right="0" w:hanging="1440"/>
        <w:jc w:val="both"/>
        <w:rPr>
          <w:caps w:val="false"/>
          <w:smallCaps w:val="false"/>
        </w:rPr>
      </w:pPr>
      <w:r>
        <w:rPr>
          <w:caps w:val="false"/>
          <w:smallCaps w:val="false"/>
        </w:rPr>
        <w:t> </w:t>
      </w:r>
    </w:p>
    <w:p>
      <w:pPr>
        <w:pStyle w:val="TextBody"/>
        <w:bidi w:val="0"/>
        <w:spacing w:before="0" w:after="0"/>
        <w:ind w:left="1440" w:right="0" w:hanging="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C-2</w:t>
      </w:r>
    </w:p>
    <w:p>
      <w:pPr>
        <w:pStyle w:val="TextBody"/>
        <w:bidi w:val="0"/>
        <w:spacing w:before="0" w:after="0"/>
        <w:jc w:val="center"/>
        <w:rPr/>
      </w:pPr>
      <w:r>
        <w:rPr/>
        <w:t> </w:t>
      </w:r>
    </w:p>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13"/>
        <w:gridCol w:w="685"/>
        <w:gridCol w:w="9407"/>
      </w:tblGrid>
      <w:tr>
        <w:trPr/>
        <w:tc>
          <w:tcPr>
            <w:tcW w:w="11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40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Are you an affiliate of a broker-dealer?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Yes ☐               No ☐</w:t>
      </w:r>
    </w:p>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you are an affiliate of a broker-dealer, do you certify that you purchased the Registrable Instruments in the ordinary course of business, and at the time of the purchase of the Registrable Instruments to be resold, you had no agreements or understandings, directly or indirectly, with any person to distribute the Registrable Instruments?</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Yes ☐               No ☐</w:t>
      </w:r>
    </w:p>
    <w:p>
      <w:pPr>
        <w:pStyle w:val="TextBody"/>
        <w:bidi w:val="0"/>
        <w:spacing w:before="0" w:after="0"/>
        <w:ind w:left="1440" w:right="0" w:hanging="144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61"/>
        <w:gridCol w:w="9706"/>
      </w:tblGrid>
      <w:tr>
        <w:trPr/>
        <w:tc>
          <w:tcPr>
            <w:tcW w:w="38"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Note:</w:t>
            </w:r>
          </w:p>
        </w:tc>
        <w:tc>
          <w:tcPr>
            <w:tcW w:w="970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If “no” to Section 3(d), the Commission’s staff has indicated that you should be identified as an underwriter in the Registration Statement.</w:t>
            </w:r>
          </w:p>
        </w:tc>
      </w:tr>
    </w:tbl>
    <w:p>
      <w:pPr>
        <w:pStyle w:val="TextBody"/>
        <w:bidi w:val="0"/>
        <w:spacing w:before="0" w:after="0"/>
        <w:ind w:left="1440" w:right="0" w:hanging="1440"/>
        <w:jc w:val="left"/>
        <w:rPr>
          <w:caps w:val="false"/>
          <w:smallCaps w:val="false"/>
        </w:rPr>
      </w:pPr>
      <w:r>
        <w:rPr>
          <w:caps w:val="false"/>
          <w:smallCaps w:val="false"/>
        </w:rPr>
        <w:t> </w:t>
      </w:r>
    </w:p>
    <w:tbl>
      <w:tblPr>
        <w:tblW w:w="7600" w:type="dxa"/>
        <w:jc w:val="left"/>
        <w:tblInd w:w="0" w:type="dxa"/>
        <w:tblLayout w:type="fixed"/>
        <w:tblCellMar>
          <w:top w:w="0" w:type="dxa"/>
          <w:left w:w="0" w:type="dxa"/>
          <w:bottom w:w="0" w:type="dxa"/>
          <w:right w:w="0" w:type="dxa"/>
        </w:tblCellMar>
      </w:tblPr>
      <w:tblGrid>
        <w:gridCol w:w="185"/>
        <w:gridCol w:w="7415"/>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4.</w:t>
            </w:r>
          </w:p>
        </w:tc>
        <w:tc>
          <w:tcPr>
            <w:tcW w:w="74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Beneficial Ownership of Instruments of the Company Owned by the Selling Stockholder.</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in this Item 4, the undersigned is not the beneficial or registered owner of any securities of the Company other than the securities issuable pursuant to the Purchase Agreement.</w:t>
      </w:r>
    </w:p>
    <w:p>
      <w:pPr>
        <w:pStyle w:val="TextBody"/>
        <w:bidi w:val="0"/>
        <w:spacing w:before="0" w:after="0"/>
        <w:ind w:left="1440" w:right="0" w:hanging="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328"/>
        <w:gridCol w:w="9823"/>
      </w:tblGrid>
      <w:tr>
        <w:trPr/>
        <w:tc>
          <w:tcPr>
            <w:tcW w:w="5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98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Type and Amount of other securities beneficially owned by the Selling Stockholder:</w:t>
            </w:r>
          </w:p>
        </w:tc>
      </w:tr>
    </w:tbl>
    <w:p>
      <w:pPr>
        <w:pStyle w:val="TextBody"/>
        <w:bidi w:val="0"/>
        <w:spacing w:before="0" w:after="283"/>
        <w:jc w:val="left"/>
        <w:rPr/>
      </w:pPr>
      <w:r>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1440" w:right="0" w:hanging="144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C-3</w:t>
      </w:r>
    </w:p>
    <w:p>
      <w:pPr>
        <w:pStyle w:val="TextBody"/>
        <w:bidi w:val="0"/>
        <w:spacing w:before="0" w:after="0"/>
        <w:jc w:val="center"/>
        <w:rPr/>
      </w:pPr>
      <w:r>
        <w:rPr/>
        <w:t> </w:t>
      </w:r>
    </w:p>
    <w:p>
      <w:pPr>
        <w:pStyle w:val="TextBody"/>
        <w:bidi w:val="0"/>
        <w:spacing w:before="0" w:after="0"/>
        <w:ind w:left="1440" w:right="0" w:hanging="1440"/>
        <w:jc w:val="left"/>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185"/>
        <w:gridCol w:w="2810"/>
      </w:tblGrid>
      <w:tr>
        <w:trPr/>
        <w:tc>
          <w:tcPr>
            <w:tcW w:w="18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5.</w:t>
            </w:r>
          </w:p>
        </w:tc>
        <w:tc>
          <w:tcPr>
            <w:tcW w:w="28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Relationships with the Company: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Except as set forth below, neither the undersigned nor any of its affiliates, officers, directors or principal equity holders (owners of 5% of more of the equity securities of the undersigned) has held any position or office or has had any other material relationship with the Company (or its predecessors or affiliates) during the past three years.</w:t>
      </w:r>
    </w:p>
    <w:p>
      <w:pPr>
        <w:pStyle w:val="TextBody"/>
        <w:bidi w:val="0"/>
        <w:spacing w:before="0" w:after="0"/>
        <w:ind w:left="1440" w:right="0" w:hanging="144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any exceptions here:</w:t>
      </w:r>
    </w:p>
    <w:p>
      <w:pPr>
        <w:pStyle w:val="TextBody"/>
        <w:bidi w:val="0"/>
        <w:spacing w:before="0" w:after="0"/>
        <w:ind w:left="0" w:right="0" w:hanging="0"/>
        <w:jc w:val="left"/>
        <w:rPr>
          <w:caps w:val="false"/>
          <w:smallCaps w:val="false"/>
        </w:rPr>
      </w:pPr>
      <w:r>
        <w:rPr>
          <w:caps w:val="false"/>
          <w:smallCaps w:val="false"/>
        </w:rPr>
        <w:t> </w:t>
      </w:r>
    </w:p>
    <w:tbl>
      <w:tblPr>
        <w:tblW w:w="150" w:type="dxa"/>
        <w:jc w:val="left"/>
        <w:tblInd w:w="0" w:type="dxa"/>
        <w:tblLayout w:type="fixed"/>
        <w:tblCellMar>
          <w:top w:w="0" w:type="dxa"/>
          <w:left w:w="0" w:type="dxa"/>
          <w:bottom w:w="0" w:type="dxa"/>
          <w:right w:w="0" w:type="dxa"/>
        </w:tblCellMar>
      </w:tblPr>
      <w:tblGrid>
        <w:gridCol w:w="75"/>
        <w:gridCol w:w="75"/>
      </w:tblGrid>
      <w:tr>
        <w:trPr/>
        <w:tc>
          <w:tcPr>
            <w:tcW w:w="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5" w:type="dxa"/>
            <w:tcBorders>
              <w:bottom w:val="single" w:sz="8" w:space="0" w:color="000000"/>
            </w:tcBorders>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agrees to promptly notify the Company of any material inaccuracies or changes in the information provided herein that may occur subsequent to the date hereof at any time while the Registration Statement remains effective; provided, that the undersigned shall not be required to notify the Company of any changes to the number of securities held or owned by the undersigned or its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undersigned consents to the disclosure of the information contained herein in its answers to Items 1 through 5 and the inclusion of such information in the Registration Statement and the related prospectus and any amendments or supplements thereto. The undersigned understands that such information will be relied upon by the Company in connection with the preparation or amendment of the Registration Statement and the related prospectus and any amendments or supplements thereto.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undersigned, by authority duly given, has caused this Notice and Questionnaire to be executed and delivered either in person or by its duly authorized agent.</w:t>
      </w:r>
    </w:p>
    <w:p>
      <w:pPr>
        <w:pStyle w:val="TextBody"/>
        <w:bidi w:val="0"/>
        <w:spacing w:before="0" w:after="0"/>
        <w:ind w:left="0" w:right="0" w:hanging="0"/>
        <w:jc w:val="left"/>
        <w:rPr>
          <w:caps w:val="false"/>
          <w:smallCaps w:val="false"/>
        </w:rPr>
      </w:pPr>
      <w:r>
        <w:rPr>
          <w:caps w:val="false"/>
          <w:smallCaps w:val="false"/>
        </w:rPr>
        <w:t> </w:t>
      </w:r>
    </w:p>
    <w:tbl>
      <w:tblPr>
        <w:tblW w:w="2290" w:type="dxa"/>
        <w:jc w:val="left"/>
        <w:tblInd w:w="0" w:type="dxa"/>
        <w:tblLayout w:type="fixed"/>
        <w:tblCellMar>
          <w:top w:w="0" w:type="dxa"/>
          <w:left w:w="0" w:type="dxa"/>
          <w:bottom w:w="0" w:type="dxa"/>
          <w:right w:w="0" w:type="dxa"/>
        </w:tblCellMar>
      </w:tblPr>
      <w:tblGrid>
        <w:gridCol w:w="515"/>
        <w:gridCol w:w="60"/>
        <w:gridCol w:w="60"/>
        <w:gridCol w:w="1580"/>
        <w:gridCol w:w="75"/>
      </w:tblGrid>
      <w:tr>
        <w:trPr/>
        <w:tc>
          <w:tcPr>
            <w:tcW w:w="515" w:type="dxa"/>
            <w:tcBorders/>
            <w:vAlign w:val="center"/>
          </w:tcPr>
          <w:p>
            <w:pPr>
              <w:pStyle w:val="TableContents"/>
              <w:bidi w:val="0"/>
              <w:spacing w:before="0" w:after="283"/>
              <w:jc w:val="left"/>
              <w:rPr>
                <w:sz w:val="20"/>
              </w:rPr>
            </w:pPr>
            <w:r>
              <w:rPr>
                <w:sz w:val="20"/>
              </w:rPr>
              <w:t xml:space="preserve">Date: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sz w:val="20"/>
              </w:rPr>
            </w:pPr>
            <w:r>
              <w:rPr>
                <w:sz w:val="20"/>
              </w:rPr>
              <w:t>Beneficial Owner:  </w:t>
            </w:r>
          </w:p>
        </w:tc>
        <w:tc>
          <w:tcPr>
            <w:tcW w:w="75" w:type="dxa"/>
            <w:tcBorders/>
            <w:vAlign w:val="center"/>
          </w:tcPr>
          <w:p>
            <w:pPr>
              <w:pStyle w:val="TableContents"/>
              <w:bidi w:val="0"/>
              <w:spacing w:before="0" w:after="283"/>
              <w:jc w:val="left"/>
              <w:rPr/>
            </w:pPr>
            <w:r>
              <w:rPr/>
              <w:t> </w:t>
            </w:r>
          </w:p>
        </w:tc>
      </w:tr>
      <w:tr>
        <w:trPr/>
        <w:tc>
          <w:tcPr>
            <w:tcW w:w="515"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bottom w:val="single" w:sz="1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8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220" w:type="dxa"/>
        <w:jc w:val="left"/>
        <w:tblInd w:w="0" w:type="dxa"/>
        <w:tblLayout w:type="fixed"/>
        <w:tblCellMar>
          <w:top w:w="0" w:type="dxa"/>
          <w:left w:w="0" w:type="dxa"/>
          <w:bottom w:w="28" w:type="dxa"/>
          <w:right w:w="0" w:type="dxa"/>
        </w:tblCellMar>
      </w:tblPr>
      <w:tblGrid>
        <w:gridCol w:w="75"/>
        <w:gridCol w:w="60"/>
        <w:gridCol w:w="590"/>
        <w:gridCol w:w="495"/>
      </w:tblGrid>
      <w:tr>
        <w:trPr/>
        <w:tc>
          <w:tcPr>
            <w:tcW w:w="75" w:type="dxa"/>
            <w:tcBorders>
              <w:bottom w:val="single" w:sz="1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sz w:val="20"/>
              </w:rPr>
            </w:pPr>
            <w:r>
              <w:rPr>
                <w:sz w:val="20"/>
              </w:rPr>
              <w:t>By:</w:t>
            </w:r>
          </w:p>
        </w:tc>
        <w:tc>
          <w:tcPr>
            <w:tcW w:w="495" w:type="dxa"/>
            <w:tcBorders/>
            <w:tcMar>
              <w:bottom w:w="0" w:type="dxa"/>
            </w:tcMar>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sz w:val="20"/>
              </w:rPr>
            </w:pPr>
            <w:r>
              <w:rPr>
                <w:sz w:val="20"/>
              </w:rPr>
              <w:t>Name: </w:t>
            </w:r>
          </w:p>
        </w:tc>
        <w:tc>
          <w:tcPr>
            <w:tcW w:w="495" w:type="dxa"/>
            <w:tcBorders/>
            <w:tcMar>
              <w:bottom w:w="0" w:type="dxa"/>
            </w:tcMar>
            <w:vAlign w:val="center"/>
          </w:tcPr>
          <w:p>
            <w:pPr>
              <w:pStyle w:val="TableContents"/>
              <w:bidi w:val="0"/>
              <w:spacing w:before="0" w:after="283"/>
              <w:jc w:val="left"/>
              <w:rPr/>
            </w:pPr>
            <w:r>
              <w:rPr/>
              <w:t> </w:t>
            </w:r>
          </w:p>
        </w:tc>
      </w:tr>
      <w:tr>
        <w:trPr/>
        <w:tc>
          <w:tcPr>
            <w:tcW w:w="7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90" w:type="dxa"/>
            <w:tcBorders/>
            <w:tcMar>
              <w:bottom w:w="0" w:type="dxa"/>
            </w:tcMar>
            <w:vAlign w:val="center"/>
          </w:tcPr>
          <w:p>
            <w:pPr>
              <w:pStyle w:val="TableContents"/>
              <w:bidi w:val="0"/>
              <w:spacing w:before="0" w:after="283"/>
              <w:jc w:val="left"/>
              <w:rPr/>
            </w:pPr>
            <w:r>
              <w:rPr/>
              <w:t>Title:</w:t>
            </w:r>
          </w:p>
        </w:tc>
        <w:tc>
          <w:tcPr>
            <w:tcW w:w="49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PLEASE EMAIL A .PDF COPY OF THE COMPLETED AND EXECUTED NOTICE AND QUESTIONNAIRE TO: </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C-4</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57503</Words>
  <Characters>302576</Characters>
  <CharactersWithSpaces>360386</CharactersWithSpaces>
  <Paragraphs>2002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