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44" w:lineRule="exact"/>
        <w:rPr>
          <w:sz w:val="24"/>
          <w:szCs w:val="24"/>
          <w:color w:val="auto"/>
        </w:rPr>
      </w:pPr>
    </w:p>
    <w:p>
      <w:pPr>
        <w:jc w:val="center"/>
        <w:ind w:left="3920" w:right="940" w:hanging="2972"/>
        <w:spacing w:after="0" w:line="409" w:lineRule="auto"/>
        <w:tabs>
          <w:tab w:leader="none" w:pos="1163"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40"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8"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0" w:type="dxa"/>
            <w:vAlign w:val="bottom"/>
            <w:gridSpan w:val="8"/>
          </w:tcPr>
          <w:p>
            <w:pPr>
              <w:jc w:val="center"/>
              <w:ind w:right="580"/>
              <w:spacing w:after="0"/>
              <w:rPr>
                <w:sz w:val="20"/>
                <w:szCs w:val="20"/>
                <w:color w:val="auto"/>
              </w:rPr>
            </w:pPr>
            <w:r>
              <w:rPr>
                <w:rFonts w:ascii="Times New Roman" w:cs="Times New Roman" w:eastAsia="Times New Roman" w:hAnsi="Times New Roman"/>
                <w:sz w:val="18"/>
                <w:szCs w:val="18"/>
                <w:color w:val="auto"/>
                <w:w w:val="99"/>
              </w:rPr>
              <w:t xml:space="preserve">Commission File Number: </w:t>
            </w:r>
            <w:r>
              <w:rPr>
                <w:rFonts w:ascii="Times New Roman" w:cs="Times New Roman" w:eastAsia="Times New Roman" w:hAnsi="Times New Roman"/>
                <w:sz w:val="18"/>
                <w:szCs w:val="18"/>
                <w:b w:val="1"/>
                <w:bCs w:val="1"/>
                <w:color w:val="auto"/>
                <w:w w:val="99"/>
              </w:rPr>
              <w:t>001-42525</w:t>
            </w:r>
          </w:p>
        </w:tc>
        <w:tc>
          <w:tcPr>
            <w:tcW w:w="3620" w:type="dxa"/>
            <w:vAlign w:val="bottom"/>
          </w:tcPr>
          <w:p>
            <w:pPr>
              <w:spacing w:after="0"/>
              <w:rPr>
                <w:sz w:val="20"/>
                <w:szCs w:val="20"/>
                <w:color w:val="auto"/>
              </w:rPr>
            </w:pPr>
          </w:p>
        </w:tc>
      </w:tr>
      <w:tr>
        <w:trPr>
          <w:trHeight w:val="333"/>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0" w:type="dxa"/>
            <w:vAlign w:val="bottom"/>
            <w:gridSpan w:val="8"/>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c>
          <w:tcPr>
            <w:tcW w:w="3620" w:type="dxa"/>
            <w:vAlign w:val="bottom"/>
          </w:tcPr>
          <w:p>
            <w:pPr>
              <w:spacing w:after="0"/>
              <w:rPr>
                <w:sz w:val="24"/>
                <w:szCs w:val="24"/>
                <w:color w:val="auto"/>
              </w:rPr>
            </w:pPr>
          </w:p>
        </w:tc>
      </w:tr>
      <w:tr>
        <w:trPr>
          <w:trHeight w:val="234"/>
        </w:trPr>
        <w:tc>
          <w:tcPr>
            <w:tcW w:w="7620" w:type="dxa"/>
            <w:vAlign w:val="bottom"/>
            <w:gridSpan w:val="11"/>
          </w:tcPr>
          <w:p>
            <w:pPr>
              <w:jc w:val="center"/>
              <w:ind w:left="3530"/>
              <w:spacing w:after="0"/>
              <w:rPr>
                <w:sz w:val="20"/>
                <w:szCs w:val="20"/>
                <w:color w:val="auto"/>
              </w:rPr>
            </w:pPr>
            <w:r>
              <w:rPr>
                <w:rFonts w:ascii="Times New Roman" w:cs="Times New Roman" w:eastAsia="Times New Roman" w:hAnsi="Times New Roman"/>
                <w:sz w:val="18"/>
                <w:szCs w:val="18"/>
                <w:color w:val="auto"/>
                <w:w w:val="99"/>
              </w:rPr>
              <w:t>(Exact Name of Registrant as Specified in its Charter)</w:t>
            </w:r>
          </w:p>
        </w:tc>
        <w:tc>
          <w:tcPr>
            <w:tcW w:w="3620" w:type="dxa"/>
            <w:vAlign w:val="bottom"/>
          </w:tcPr>
          <w:p>
            <w:pPr>
              <w:spacing w:after="0"/>
              <w:rPr>
                <w:sz w:val="20"/>
                <w:szCs w:val="20"/>
                <w:color w:val="auto"/>
              </w:rPr>
            </w:pPr>
          </w:p>
        </w:tc>
      </w:tr>
      <w:tr>
        <w:trPr>
          <w:trHeight w:val="358"/>
        </w:trPr>
        <w:tc>
          <w:tcPr>
            <w:tcW w:w="4220" w:type="dxa"/>
            <w:vAlign w:val="bottom"/>
            <w:tcBorders>
              <w:bottom w:val="single" w:sz="8" w:color="auto"/>
            </w:tcBorders>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87-4032622</w:t>
            </w:r>
          </w:p>
        </w:tc>
      </w:tr>
      <w:tr>
        <w:trPr>
          <w:trHeight w:val="198"/>
        </w:trPr>
        <w:tc>
          <w:tcPr>
            <w:tcW w:w="4220" w:type="dxa"/>
            <w:vAlign w:val="bottom"/>
            <w:gridSpan w:val="3"/>
          </w:tcPr>
          <w:p>
            <w:pPr>
              <w:jc w:val="center"/>
              <w:ind w:left="1210"/>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20" w:type="dxa"/>
            <w:vAlign w:val="bottom"/>
          </w:tcPr>
          <w:p>
            <w:pPr>
              <w:jc w:val="center"/>
              <w:ind w:right="179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29"/>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rPr>
              <w:t>45 Park Street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45"/>
        </w:trPr>
        <w:tc>
          <w:tcPr>
            <w:tcW w:w="422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Montclair, NJ</w:t>
            </w:r>
          </w:p>
        </w:tc>
        <w:tc>
          <w:tcPr>
            <w:tcW w:w="8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07042</w:t>
            </w:r>
          </w:p>
        </w:tc>
      </w:tr>
      <w:tr>
        <w:trPr>
          <w:trHeight w:val="243"/>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Zip Code</w:t>
            </w:r>
          </w:p>
        </w:tc>
      </w:tr>
      <w:tr>
        <w:trPr>
          <w:trHeight w:val="311"/>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(413) 398-2845</w:t>
            </w: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237"/>
        </w:trPr>
        <w:tc>
          <w:tcPr>
            <w:tcW w:w="7620" w:type="dxa"/>
            <w:vAlign w:val="bottom"/>
            <w:gridSpan w:val="11"/>
          </w:tcPr>
          <w:p>
            <w:pPr>
              <w:jc w:val="center"/>
              <w:ind w:left="353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20" w:type="dxa"/>
            <w:vAlign w:val="bottom"/>
          </w:tcPr>
          <w:p>
            <w:pPr>
              <w:spacing w:after="0"/>
              <w:rPr>
                <w:sz w:val="20"/>
                <w:szCs w:val="20"/>
                <w:color w:val="auto"/>
              </w:rPr>
            </w:pPr>
          </w:p>
        </w:tc>
      </w:tr>
      <w:tr>
        <w:trPr>
          <w:trHeight w:val="351"/>
        </w:trPr>
        <w:tc>
          <w:tcPr>
            <w:tcW w:w="4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385"/>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2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4220" w:type="dxa"/>
            <w:vAlign w:val="bottom"/>
            <w:gridSpan w:val="3"/>
            <w:shd w:val="clear" w:color="auto" w:fill="CCEEFF"/>
          </w:tcPr>
          <w:p>
            <w:pPr>
              <w:jc w:val="center"/>
              <w:ind w:right="380"/>
              <w:spacing w:after="0"/>
              <w:rPr>
                <w:sz w:val="20"/>
                <w:szCs w:val="20"/>
                <w:color w:val="auto"/>
              </w:rPr>
            </w:pPr>
            <w:r>
              <w:rPr>
                <w:rFonts w:ascii="Times New Roman" w:cs="Times New Roman" w:eastAsia="Times New Roman" w:hAnsi="Times New Roman"/>
                <w:sz w:val="18"/>
                <w:szCs w:val="18"/>
                <w:color w:val="auto"/>
                <w:w w:val="99"/>
              </w:rPr>
              <w:t>Common Stock</w:t>
            </w:r>
          </w:p>
        </w:tc>
        <w:tc>
          <w:tcPr>
            <w:tcW w:w="840" w:type="dxa"/>
            <w:vAlign w:val="bottom"/>
            <w:shd w:val="clear" w:color="auto" w:fill="CCEEFF"/>
          </w:tcPr>
          <w:p>
            <w:pPr>
              <w:spacing w:after="0"/>
              <w:rPr>
                <w:sz w:val="21"/>
                <w:szCs w:val="21"/>
                <w:color w:val="auto"/>
              </w:rPr>
            </w:pPr>
          </w:p>
        </w:tc>
        <w:tc>
          <w:tcPr>
            <w:tcW w:w="2560" w:type="dxa"/>
            <w:vAlign w:val="bottom"/>
            <w:gridSpan w:val="7"/>
            <w:shd w:val="clear" w:color="auto" w:fill="CCEEFF"/>
          </w:tcPr>
          <w:p>
            <w:pPr>
              <w:jc w:val="center"/>
              <w:ind w:right="1400"/>
              <w:spacing w:after="0"/>
              <w:rPr>
                <w:sz w:val="20"/>
                <w:szCs w:val="20"/>
                <w:color w:val="auto"/>
              </w:rPr>
            </w:pPr>
            <w:r>
              <w:rPr>
                <w:rFonts w:ascii="Times New Roman" w:cs="Times New Roman" w:eastAsia="Times New Roman" w:hAnsi="Times New Roman"/>
                <w:sz w:val="18"/>
                <w:szCs w:val="18"/>
                <w:color w:val="auto"/>
                <w:w w:val="99"/>
              </w:rPr>
              <w:t>TBH</w:t>
            </w:r>
          </w:p>
        </w:tc>
        <w:tc>
          <w:tcPr>
            <w:tcW w:w="3620" w:type="dxa"/>
            <w:vAlign w:val="bottom"/>
            <w:shd w:val="clear" w:color="auto" w:fill="CCEEFF"/>
          </w:tcPr>
          <w:p>
            <w:pPr>
              <w:jc w:val="center"/>
              <w:ind w:right="9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17"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09" w:right="339" w:bottom="1440" w:gutter="0" w:footer="0" w:header="0"/>
        </w:sectPr>
      </w:pPr>
    </w:p>
    <w:p>
      <w:pPr>
        <w:spacing w:after="0" w:line="5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8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36" w:lineRule="exact"/>
        <w:rPr>
          <w:sz w:val="24"/>
          <w:szCs w:val="24"/>
          <w:color w:val="auto"/>
        </w:rPr>
      </w:pPr>
    </w:p>
    <w:p>
      <w:pPr>
        <w:sectPr>
          <w:pgSz w:w="11900" w:h="16838" w:orient="portrait"/>
          <w:cols w:equalWidth="0" w:num="2">
            <w:col w:w="4900" w:space="720"/>
            <w:col w:w="5620"/>
          </w:cols>
          <w:pgMar w:left="320" w:top="509"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9" w:lineRule="exact"/>
        <w:rPr>
          <w:sz w:val="24"/>
          <w:szCs w:val="24"/>
          <w:color w:val="auto"/>
        </w:rPr>
      </w:pPr>
    </w:p>
    <w:p>
      <w:pPr>
        <w:ind w:right="250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registrant had 10,822,588 shares of its common stock, par value $0.0001, issued and outstanding as of July 17,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592455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(“Securities Act”), and Section 21E of the Securities Exchange Act of 1934, as amended (“Exchange Act”). In particular, statements contained in this Quarterly Report on Form 10-Q, including but not limited to, statements regarding the sufficiency of our cash, our ability to finance our operations and business initiatives and obtain funding for such activities; our future results of operations and financial position, business strategy and plan prospects, or costs and objectives of management for future acquisitions, are forward looking statements. These forward-looking statements relate to our future plans, objectives, expectations and intentions and may be identified by words such as “may,” “will,” “should,” “expects,” “plans,” “anticipates,” “intends,” “targets,” “projects,” “contemplates,” “believes,” “seeks,” “goals,” “estimates,” “predicts,” “potential” and “continue” or similar words. Readers are cautioned that these forward-looking statements are based on our current beliefs, expectations and assumptions and are subject to risks, uncertainties, and assumptions that are difficult to predict, including those identified below, under Part II, Item lA. “Risk Factors” and elsewhere in this Quarterly Report on Form 10-Q and those risks identified under Part I, Item 1A of our Annual Report on Form 10-K for the year ended December 31, 2024 filed with the Securities and Exchange Commission on May 7, 2025. Therefore, actual results may differ materially and adversely from those expressed, projected or implied in any forward-looking statements. We undertake no obligation to revise or update any forward-looking statements for any reason.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COMPANY REFERENCES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Quarterly Report on Form 10-Q, the terms “Brag House,” “we,” “us,” our,” “our company,” “Company” and “our business” refer to Brag House Holdings, Inc. and its wholly owned subsidiaries, Brag House Inc. and Brag House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4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2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740" w:type="dxa"/>
            <w:vAlign w:val="bottom"/>
            <w:tcBorders>
              <w:bottom w:val="single" w:sz="8" w:color="CCEEFF"/>
            </w:tcBorders>
          </w:tcPr>
          <w:p>
            <w:pPr>
              <w:spacing w:after="0"/>
              <w:rPr>
                <w:sz w:val="21"/>
                <w:szCs w:val="21"/>
                <w:color w:val="auto"/>
              </w:rPr>
            </w:pPr>
          </w:p>
        </w:tc>
        <w:tc>
          <w:tcPr>
            <w:tcW w:w="146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8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PART I-FINANCIAL INFORMATION</w:t>
            </w:r>
          </w:p>
        </w:tc>
        <w:tc>
          <w:tcPr>
            <w:tcW w:w="6800" w:type="dxa"/>
            <w:vAlign w:val="bottom"/>
            <w:tcBorders>
              <w:bottom w:val="single" w:sz="8" w:color="CCEEFF"/>
            </w:tcBorders>
            <w:gridSpan w:val="9"/>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l.</w:t>
            </w: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2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Balance Sheets as of March 31, 2025 (Unaudited) and December 31, 2024</w:t>
            </w:r>
          </w:p>
        </w:tc>
        <w:tc>
          <w:tcPr>
            <w:tcW w:w="2460" w:type="dxa"/>
            <w:vAlign w:val="bottom"/>
            <w:tcBorders>
              <w:bottom w:val="single" w:sz="8" w:color="CCEEFF"/>
            </w:tcBorders>
            <w:gridSpan w:val="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176"/>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60" w:type="dxa"/>
            <w:vAlign w:val="bottom"/>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2025 and 2024</w:t>
            </w:r>
          </w:p>
        </w:tc>
        <w:tc>
          <w:tcPr>
            <w:tcW w:w="560" w:type="dxa"/>
            <w:vAlign w:val="bottom"/>
          </w:tcPr>
          <w:p>
            <w:pPr>
              <w:spacing w:after="0"/>
              <w:rPr>
                <w:sz w:val="15"/>
                <w:szCs w:val="15"/>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460" w:type="dxa"/>
            <w:vAlign w:val="bottom"/>
            <w:tcBorders>
              <w:top w:val="single" w:sz="8" w:color="0000EE"/>
            </w:tcBorders>
            <w:gridSpan w:val="19"/>
          </w:tcPr>
          <w:p>
            <w:pPr>
              <w:ind w:left="8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rPr>
                <w:sz w:val="15"/>
                <w:szCs w:val="15"/>
                <w:color w:val="auto"/>
              </w:rPr>
            </w:pPr>
          </w:p>
        </w:tc>
        <w:tc>
          <w:tcPr>
            <w:tcW w:w="9840" w:type="dxa"/>
            <w:vAlign w:val="bottom"/>
            <w:gridSpan w:val="22"/>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Three Months Ended March 31, 2025 and</w:t>
            </w:r>
          </w:p>
        </w:tc>
        <w:tc>
          <w:tcPr>
            <w:tcW w:w="560" w:type="dxa"/>
            <w:vAlign w:val="bottom"/>
            <w:shd w:val="clear" w:color="auto" w:fill="CCEEFF"/>
          </w:tcPr>
          <w:p>
            <w:pPr>
              <w:spacing w:after="0"/>
              <w:rPr>
                <w:sz w:val="15"/>
                <w:szCs w:val="15"/>
                <w:color w:val="auto"/>
              </w:rPr>
            </w:pPr>
          </w:p>
        </w:tc>
      </w:tr>
      <w:tr>
        <w:trPr>
          <w:trHeight w:val="217"/>
        </w:trPr>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1280" w:type="dxa"/>
            <w:vAlign w:val="bottom"/>
            <w:tcBorders>
              <w:top w:val="single" w:sz="8" w:color="0000EE"/>
              <w:bottom w:val="single" w:sz="8" w:color="0000EE"/>
            </w:tcBorders>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8"/>
              </w:rPr>
              <w:t>2024 (Unaudited)</w:t>
            </w:r>
          </w:p>
        </w:tc>
        <w:tc>
          <w:tcPr>
            <w:tcW w:w="8220" w:type="dxa"/>
            <w:vAlign w:val="bottom"/>
            <w:tcBorders>
              <w:top w:val="single" w:sz="8" w:color="0000EE"/>
              <w:bottom w:val="single" w:sz="8" w:color="CCEEFF"/>
            </w:tcBorders>
            <w:gridSpan w:val="13"/>
            <w:shd w:val="clear" w:color="auto" w:fill="CCEEFF"/>
          </w:tcPr>
          <w:p>
            <w:pPr>
              <w:spacing w:after="0"/>
              <w:rPr>
                <w:sz w:val="18"/>
                <w:szCs w:val="18"/>
                <w:color w:val="auto"/>
              </w:rPr>
            </w:pPr>
          </w:p>
        </w:tc>
        <w:tc>
          <w:tcPr>
            <w:tcW w:w="560" w:type="dxa"/>
            <w:vAlign w:val="bottom"/>
            <w:tcBorders>
              <w:top w:val="single" w:sz="8" w:color="CCEEFF"/>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840" w:type="dxa"/>
            <w:vAlign w:val="bottom"/>
          </w:tcPr>
          <w:p>
            <w:pPr>
              <w:spacing w:after="0"/>
              <w:rPr>
                <w:sz w:val="15"/>
                <w:szCs w:val="15"/>
                <w:color w:val="auto"/>
              </w:rPr>
            </w:pP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18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the Condensed Consolidated Financial Statements (Unaudited)</w:t>
            </w:r>
          </w:p>
        </w:tc>
        <w:tc>
          <w:tcPr>
            <w:tcW w:w="448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31</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2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Borders>
              <w:bottom w:val="single" w:sz="8" w:color="CCEEFF"/>
            </w:tcBorders>
            <w:shd w:val="clear" w:color="auto" w:fill="CCEEFF"/>
          </w:tcPr>
          <w:p>
            <w:pPr>
              <w:spacing w:after="0"/>
              <w:rPr>
                <w:sz w:val="17"/>
                <w:szCs w:val="17"/>
                <w:color w:val="auto"/>
              </w:rPr>
            </w:pPr>
          </w:p>
        </w:tc>
        <w:tc>
          <w:tcPr>
            <w:tcW w:w="4360" w:type="dxa"/>
            <w:vAlign w:val="bottom"/>
            <w:tcBorders>
              <w:bottom w:val="single" w:sz="8" w:color="0000EE"/>
            </w:tcBorders>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30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175"/>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38</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176"/>
        </w:trPr>
        <w:tc>
          <w:tcPr>
            <w:tcW w:w="840" w:type="dxa"/>
            <w:vAlign w:val="bottom"/>
          </w:tcPr>
          <w:p>
            <w:pPr>
              <w:spacing w:after="0"/>
              <w:rPr>
                <w:sz w:val="15"/>
                <w:szCs w:val="15"/>
                <w:color w:val="auto"/>
              </w:rPr>
            </w:pP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PART II-OTHER INFORMATION</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8320" w:type="dxa"/>
            <w:vAlign w:val="bottom"/>
            <w:tcBorders>
              <w:bottom w:val="single" w:sz="8" w:color="CCEEFF"/>
            </w:tcBorders>
            <w:gridSpan w:val="1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6"/>
        </w:trPr>
        <w:tc>
          <w:tcPr>
            <w:tcW w:w="8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840" w:type="dxa"/>
            <w:vAlign w:val="bottom"/>
            <w:gridSpan w:val="22"/>
          </w:tcPr>
          <w:p>
            <w:pPr>
              <w:ind w:left="18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180" w:type="dxa"/>
            <w:vAlign w:val="bottom"/>
            <w:shd w:val="clear" w:color="auto" w:fill="CCEEFF"/>
          </w:tcPr>
          <w:p>
            <w:pPr>
              <w:spacing w:after="0"/>
              <w:rPr>
                <w:sz w:val="17"/>
                <w:szCs w:val="17"/>
                <w:color w:val="auto"/>
              </w:rPr>
            </w:pPr>
          </w:p>
        </w:tc>
        <w:tc>
          <w:tcPr>
            <w:tcW w:w="9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8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5320" w:type="dxa"/>
            <w:vAlign w:val="bottom"/>
            <w:tcBorders>
              <w:top w:val="single" w:sz="8" w:color="CCEEFF"/>
            </w:tcBorders>
            <w:gridSpan w:val="7"/>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180" w:type="dxa"/>
            <w:vAlign w:val="bottom"/>
            <w:shd w:val="clear" w:color="auto" w:fill="CCEEFF"/>
          </w:tcPr>
          <w:p>
            <w:pPr>
              <w:spacing w:after="0"/>
              <w:rPr>
                <w:sz w:val="17"/>
                <w:szCs w:val="17"/>
                <w:color w:val="auto"/>
              </w:rPr>
            </w:pPr>
          </w:p>
        </w:tc>
        <w:tc>
          <w:tcPr>
            <w:tcW w:w="9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176"/>
        </w:trPr>
        <w:tc>
          <w:tcPr>
            <w:tcW w:w="84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7900" w:type="dxa"/>
            <w:vAlign w:val="bottom"/>
            <w:tcBorders>
              <w:top w:val="single" w:sz="8" w:color="CCEEFF"/>
            </w:tcBorders>
            <w:gridSpan w:val="12"/>
          </w:tcPr>
          <w:p>
            <w:pPr>
              <w:spacing w:after="0"/>
              <w:rPr>
                <w:sz w:val="15"/>
                <w:szCs w:val="15"/>
                <w:color w:val="auto"/>
              </w:rPr>
            </w:pPr>
          </w:p>
        </w:tc>
        <w:tc>
          <w:tcPr>
            <w:tcW w:w="56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80" w:type="dxa"/>
            <w:vAlign w:val="bottom"/>
            <w:shd w:val="clear" w:color="auto" w:fill="CCEEFF"/>
          </w:tcPr>
          <w:p>
            <w:pPr>
              <w:spacing w:after="0"/>
              <w:rPr>
                <w:sz w:val="15"/>
                <w:szCs w:val="15"/>
                <w:color w:val="auto"/>
              </w:rPr>
            </w:pPr>
          </w:p>
        </w:tc>
        <w:tc>
          <w:tcPr>
            <w:tcW w:w="9660" w:type="dxa"/>
            <w:vAlign w:val="bottom"/>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41</w:t>
            </w:r>
          </w:p>
        </w:tc>
      </w:tr>
      <w:tr>
        <w:trPr>
          <w:trHeight w:val="20"/>
        </w:trPr>
        <w:tc>
          <w:tcPr>
            <w:tcW w:w="8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560" w:type="dxa"/>
            <w:vAlign w:val="bottom"/>
          </w:tcPr>
          <w:p>
            <w:pPr>
              <w:spacing w:after="0"/>
              <w:rPr>
                <w:sz w:val="20"/>
                <w:szCs w:val="20"/>
                <w:color w:val="auto"/>
              </w:rPr>
            </w:pPr>
          </w:p>
        </w:tc>
      </w:tr>
      <w:tr>
        <w:trPr>
          <w:trHeight w:val="432"/>
        </w:trPr>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tc>
        <w:tc>
          <w:tcPr>
            <w:tcW w:w="560" w:type="dxa"/>
            <w:vAlign w:val="bottom"/>
          </w:tcPr>
          <w:p>
            <w:pPr>
              <w:spacing w:after="0"/>
              <w:rPr>
                <w:sz w:val="24"/>
                <w:szCs w:val="24"/>
                <w:color w:val="auto"/>
              </w:rPr>
            </w:pPr>
          </w:p>
        </w:tc>
      </w:tr>
      <w:tr>
        <w:trPr>
          <w:trHeight w:val="410"/>
        </w:trPr>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6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BRAG HOUSE HOLDINGS, INC.</w:t>
            </w:r>
          </w:p>
        </w:tc>
        <w:tc>
          <w:tcPr>
            <w:tcW w:w="560" w:type="dxa"/>
            <w:vAlign w:val="bottom"/>
          </w:tcPr>
          <w:p>
            <w:pPr>
              <w:spacing w:after="0"/>
              <w:rPr>
                <w:sz w:val="24"/>
                <w:szCs w:val="24"/>
                <w:color w:val="auto"/>
              </w:rPr>
            </w:pPr>
          </w:p>
        </w:tc>
      </w:tr>
      <w:tr>
        <w:trPr>
          <w:trHeight w:val="238"/>
        </w:trPr>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640" w:type="dxa"/>
            <w:vAlign w:val="bottom"/>
            <w:gridSpan w:val="6"/>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 (UNAUDITED)</w:t>
            </w:r>
          </w:p>
        </w:tc>
        <w:tc>
          <w:tcPr>
            <w:tcW w:w="560" w:type="dxa"/>
            <w:vAlign w:val="bottom"/>
          </w:tcPr>
          <w:p>
            <w:pPr>
              <w:spacing w:after="0"/>
              <w:rPr>
                <w:sz w:val="20"/>
                <w:szCs w:val="20"/>
                <w:color w:val="auto"/>
              </w:rPr>
            </w:pPr>
          </w:p>
        </w:tc>
      </w:tr>
      <w:tr>
        <w:trPr>
          <w:trHeight w:val="439"/>
        </w:trPr>
        <w:tc>
          <w:tcPr>
            <w:tcW w:w="1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8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6"/>
        </w:trPr>
        <w:tc>
          <w:tcPr>
            <w:tcW w:w="7200" w:type="dxa"/>
            <w:vAlign w:val="bottom"/>
            <w:tcBorders>
              <w:bottom w:val="single" w:sz="8" w:color="0000EE"/>
            </w:tcBorders>
            <w:gridSpan w:val="4"/>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Condensed Consolidated Balance Sheets as of March 31, 2025 (Unaudited) and December 31, 2024</w:t>
            </w:r>
          </w:p>
        </w:tc>
        <w:tc>
          <w:tcPr>
            <w:tcW w:w="3480" w:type="dxa"/>
            <w:vAlign w:val="bottom"/>
            <w:tcBorders>
              <w:bottom w:val="single" w:sz="8" w:color="CCEEFF"/>
            </w:tcBorders>
            <w:gridSpan w:val="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w w:val="99"/>
              </w:rPr>
              <w:t>2</w:t>
            </w:r>
          </w:p>
        </w:tc>
      </w:tr>
      <w:tr>
        <w:trPr>
          <w:trHeight w:val="175"/>
        </w:trPr>
        <w:tc>
          <w:tcPr>
            <w:tcW w:w="10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For the Three Months Ended March 31, 2025 and 2024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21"/>
        </w:trPr>
        <w:tc>
          <w:tcPr>
            <w:tcW w:w="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8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05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 (Deficit) For the Three Months Ended March 31, 2025 and 2024</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r>
      <w:tr>
        <w:trPr>
          <w:trHeight w:val="217"/>
        </w:trPr>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0000EE"/>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(Unaudited)</w:t>
            </w:r>
          </w:p>
        </w:tc>
        <w:tc>
          <w:tcPr>
            <w:tcW w:w="9640" w:type="dxa"/>
            <w:vAlign w:val="bottom"/>
            <w:tcBorders>
              <w:bottom w:val="single" w:sz="8" w:color="CCEEFF"/>
            </w:tcBorders>
            <w:gridSpan w:val="6"/>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4</w:t>
            </w:r>
          </w:p>
        </w:tc>
      </w:tr>
      <w:tr>
        <w:trPr>
          <w:trHeight w:val="176"/>
        </w:trPr>
        <w:tc>
          <w:tcPr>
            <w:tcW w:w="1068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 2024 (Unaudited)</w:t>
            </w:r>
          </w:p>
        </w:tc>
        <w:tc>
          <w:tcPr>
            <w:tcW w:w="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16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3880" w:type="dxa"/>
            <w:vAlign w:val="bottom"/>
            <w:tcBorders>
              <w:top w:val="single" w:sz="8" w:color="0000EE"/>
            </w:tcBorders>
          </w:tcPr>
          <w:p>
            <w:pPr>
              <w:spacing w:after="0" w:line="20" w:lineRule="exact"/>
              <w:rPr>
                <w:sz w:val="1"/>
                <w:szCs w:val="1"/>
                <w:color w:val="auto"/>
              </w:rPr>
            </w:pPr>
          </w:p>
        </w:tc>
        <w:tc>
          <w:tcPr>
            <w:tcW w:w="2280" w:type="dxa"/>
            <w:vAlign w:val="bottom"/>
            <w:tcBorders>
              <w:top w:val="single" w:sz="8" w:color="0000EE"/>
            </w:tcBorders>
          </w:tcPr>
          <w:p>
            <w:pPr>
              <w:spacing w:after="0" w:line="20" w:lineRule="exact"/>
              <w:rPr>
                <w:sz w:val="1"/>
                <w:szCs w:val="1"/>
                <w:color w:val="auto"/>
              </w:rPr>
            </w:pPr>
          </w:p>
        </w:tc>
        <w:tc>
          <w:tcPr>
            <w:tcW w:w="1460" w:type="dxa"/>
            <w:vAlign w:val="bottom"/>
            <w:tcBorders>
              <w:top w:val="single" w:sz="8" w:color="0000EE"/>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92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 (Unaudited)</w:t>
            </w:r>
          </w:p>
        </w:tc>
        <w:tc>
          <w:tcPr>
            <w:tcW w:w="5760" w:type="dxa"/>
            <w:vAlign w:val="bottom"/>
            <w:tcBorders>
              <w:bottom w:val="single" w:sz="8" w:color="CCEEFF"/>
            </w:tcBorders>
            <w:gridSpan w:val="5"/>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655"/>
        </w:trPr>
        <w:tc>
          <w:tcPr>
            <w:tcW w:w="7200" w:type="dxa"/>
            <w:vAlign w:val="bottom"/>
            <w:tcBorders>
              <w:bottom w:val="single" w:sz="8" w:color="auto"/>
            </w:tcBorders>
            <w:gridSpan w:val="4"/>
          </w:tcPr>
          <w:p>
            <w:pPr>
              <w:jc w:val="center"/>
              <w:ind w:left="3952"/>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8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3,458,017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29,228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68,570</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34,667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22,017</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18,332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3,548,604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82,227</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Noncurrent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Capitalized Implementation Costs</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160,340</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160,340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1,219,301</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3,708,944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1,301,528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1,330,087</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1,929,469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Due to Officers – Related Party (Note 3)</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2,883</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24,303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141,118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46,895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251,043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102,422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213,934</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95,018</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95,238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 (Note 6)</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125,500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297,900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 – December 2024, Net of Discount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21,719</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Net of Discount and Issuance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5,722,511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Liability</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44,392</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2,102,249</w:t>
            </w:r>
          </w:p>
        </w:tc>
        <w:tc>
          <w:tcPr>
            <w:tcW w:w="220" w:type="dxa"/>
            <w:vAlign w:val="bottom"/>
            <w:tcBorders>
              <w:top w:val="single" w:sz="8" w:color="CCEEFF"/>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9,757,813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2,102,249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9,757,813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 200,000 Shares Authorized, No Shares Issued and Outstanding as of</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2025 and December 31, 2024</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 24,800,000 Shares Authorized, 0 and 82,096 Shares Issued and Outstanding as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 March 31, 2025 and December 31, 2024,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 250,000,000 Shares Authorized, 10,723,908 and 7,033,330 Shares Issued and</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as of March 31, 2025 and December 31, 2024, respectively</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15,334</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14,554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(3,700)</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17,325,615</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6,195,322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(15,715,375)</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(14,647,702)</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(15,179)</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(15,179)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1,606,695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3,708,944</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1,301,528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1"/>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Tournament Revenues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Live-streaming Services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Gross Profit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(409)</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and Marketing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81,450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138,324</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52,458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257,159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122,561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Software Expense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64,651</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10,887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46,016</w:t>
            </w: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Expense</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584,470</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232,014</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438,709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802,153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tcPr>
          <w:p>
            <w:pPr>
              <w:spacing w:after="0"/>
              <w:rPr>
                <w:sz w:val="18"/>
                <w:szCs w:val="18"/>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46,406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483,203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801,738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from Continuing Operations Before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(1,067,673)</w:t>
            </w:r>
          </w:p>
        </w:tc>
        <w:tc>
          <w:tcPr>
            <w:tcW w:w="22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(1,034,161)</w:t>
            </w:r>
          </w:p>
        </w:tc>
        <w:tc>
          <w:tcPr>
            <w:tcW w:w="100" w:type="dxa"/>
            <w:vAlign w:val="bottom"/>
          </w:tcPr>
          <w:p>
            <w:pPr>
              <w:spacing w:after="0"/>
              <w:rPr>
                <w:sz w:val="17"/>
                <w:szCs w:val="17"/>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(1,067,673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(1,034,161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(1,067,673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(1,034,161</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(0.14)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 Basic and Diluted</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7,666,404</w:t>
            </w:r>
          </w:p>
        </w:tc>
        <w:tc>
          <w:tcPr>
            <w:tcW w:w="120" w:type="dxa"/>
            <w:vAlign w:val="bottom"/>
          </w:tcPr>
          <w:p>
            <w:pPr>
              <w:spacing w:after="0"/>
              <w:rPr>
                <w:sz w:val="20"/>
                <w:szCs w:val="20"/>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5,615,934</w:t>
            </w: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76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7"/>
              </w:rPr>
              <w:t>Series A</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4620" w:type="dxa"/>
            <w:vAlign w:val="bottom"/>
          </w:tcPr>
          <w:p>
            <w:pPr>
              <w:spacing w:after="0"/>
              <w:rPr>
                <w:sz w:val="21"/>
                <w:szCs w:val="21"/>
                <w:color w:val="auto"/>
              </w:rPr>
            </w:pPr>
          </w:p>
        </w:tc>
        <w:tc>
          <w:tcPr>
            <w:tcW w:w="1760" w:type="dxa"/>
            <w:vAlign w:val="bottom"/>
            <w:gridSpan w:val="4"/>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Preferred Stock</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8"/>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1"/>
                <w:szCs w:val="21"/>
                <w:color w:val="auto"/>
              </w:rPr>
            </w:pPr>
          </w:p>
        </w:tc>
        <w:tc>
          <w:tcPr>
            <w:tcW w:w="21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7"/>
        </w:trPr>
        <w:tc>
          <w:tcPr>
            <w:tcW w:w="4620" w:type="dxa"/>
            <w:vAlign w:val="bottom"/>
          </w:tcPr>
          <w:p>
            <w:pPr>
              <w:spacing w:after="0"/>
              <w:rPr>
                <w:sz w:val="20"/>
                <w:szCs w:val="20"/>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7,033,330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14,554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74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ind w:left="12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(82,096)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82,096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w:t>
            </w:r>
          </w:p>
        </w:tc>
      </w:tr>
      <w:tr>
        <w:trPr>
          <w:trHeight w:val="198"/>
        </w:trPr>
        <w:tc>
          <w:tcPr>
            <w:tcW w:w="5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Debt and Accrued</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(Note 6)</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1,912,176</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198"/>
        </w:trPr>
        <w:tc>
          <w:tcPr>
            <w:tcW w:w="53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IPO and</w:t>
            </w: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Over-allotment, Net of $1,176,800 of Offering Costs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0"/>
                <w:szCs w:val="20"/>
                <w:color w:val="auto"/>
              </w:rPr>
            </w:pP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1,696,250</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Underwriter Warrants</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8"/>
                <w:szCs w:val="18"/>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5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10,723,908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15,334</w:t>
            </w:r>
          </w:p>
        </w:tc>
        <w:tc>
          <w:tcPr>
            <w:tcW w:w="100" w:type="dxa"/>
            <w:vAlign w:val="bottom"/>
            <w:tcBorders>
              <w:top w:val="single" w:sz="8" w:color="CCEEFF"/>
            </w:tcBorders>
            <w:shd w:val="clear" w:color="auto" w:fill="CCEEFF"/>
          </w:tcPr>
          <w:p>
            <w:pPr>
              <w:spacing w:after="0"/>
              <w:rPr>
                <w:sz w:val="18"/>
                <w:szCs w:val="18"/>
                <w:color w:val="auto"/>
              </w:rPr>
            </w:pPr>
          </w:p>
        </w:tc>
      </w:tr>
      <w:tr>
        <w:trPr>
          <w:trHeight w:val="410"/>
        </w:trPr>
        <w:tc>
          <w:tcPr>
            <w:tcW w:w="4620" w:type="dxa"/>
            <w:vAlign w:val="bottom"/>
          </w:tcPr>
          <w:p>
            <w:pPr>
              <w:spacing w:after="0"/>
              <w:rPr>
                <w:sz w:val="24"/>
                <w:szCs w:val="24"/>
                <w:color w:val="auto"/>
              </w:rPr>
            </w:pPr>
          </w:p>
        </w:tc>
        <w:tc>
          <w:tcPr>
            <w:tcW w:w="1760" w:type="dxa"/>
            <w:vAlign w:val="bottom"/>
            <w:gridSpan w:val="4"/>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Series A</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4620" w:type="dxa"/>
            <w:vAlign w:val="bottom"/>
          </w:tcPr>
          <w:p>
            <w:pPr>
              <w:spacing w:after="0"/>
              <w:rPr>
                <w:sz w:val="21"/>
                <w:szCs w:val="21"/>
                <w:color w:val="auto"/>
              </w:rPr>
            </w:pPr>
          </w:p>
        </w:tc>
        <w:tc>
          <w:tcPr>
            <w:tcW w:w="176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80" w:type="dxa"/>
            <w:vAlign w:val="bottom"/>
            <w:gridSpan w:val="8"/>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40" w:type="dxa"/>
            <w:vAlign w:val="bottom"/>
          </w:tcPr>
          <w:p>
            <w:pPr>
              <w:spacing w:after="0"/>
              <w:rPr>
                <w:sz w:val="21"/>
                <w:szCs w:val="21"/>
                <w:color w:val="auto"/>
              </w:rPr>
            </w:pPr>
          </w:p>
        </w:tc>
        <w:tc>
          <w:tcPr>
            <w:tcW w:w="210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Common Stock</w:t>
            </w:r>
          </w:p>
        </w:tc>
      </w:tr>
      <w:tr>
        <w:trPr>
          <w:trHeight w:val="237"/>
        </w:trPr>
        <w:tc>
          <w:tcPr>
            <w:tcW w:w="4620" w:type="dxa"/>
            <w:vAlign w:val="bottom"/>
          </w:tcPr>
          <w:p>
            <w:pPr>
              <w:spacing w:after="0"/>
              <w:rPr>
                <w:sz w:val="20"/>
                <w:szCs w:val="20"/>
                <w:color w:val="auto"/>
              </w:rPr>
            </w:pPr>
          </w:p>
        </w:tc>
        <w:tc>
          <w:tcPr>
            <w:tcW w:w="7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tcBorders>
              <w:top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00" w:type="dxa"/>
            <w:vAlign w:val="bottom"/>
            <w:tcBorders>
              <w:top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74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8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740" w:type="dxa"/>
            <w:vAlign w:val="bottom"/>
          </w:tcPr>
          <w:p>
            <w:pPr>
              <w:spacing w:after="0"/>
              <w:rPr>
                <w:sz w:val="17"/>
                <w:szCs w:val="17"/>
                <w:color w:val="auto"/>
              </w:rPr>
            </w:pPr>
          </w:p>
        </w:tc>
        <w:tc>
          <w:tcPr>
            <w:tcW w:w="1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r>
      <w:tr>
        <w:trPr>
          <w:trHeight w:val="250"/>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7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40" w:type="dxa"/>
            <w:vAlign w:val="bottom"/>
            <w:tcBorders>
              <w:top w:val="single" w:sz="8" w:color="CCEEFF"/>
            </w:tcBorders>
          </w:tcPr>
          <w:p>
            <w:pPr>
              <w:spacing w:after="0"/>
              <w:rPr>
                <w:sz w:val="19"/>
                <w:szCs w:val="19"/>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82,096</w:t>
            </w:r>
          </w:p>
        </w:tc>
        <w:tc>
          <w:tcPr>
            <w:tcW w:w="1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420</w:t>
            </w:r>
          </w:p>
        </w:tc>
        <w:tc>
          <w:tcPr>
            <w:tcW w:w="18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5,744,929</w:t>
            </w: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14,794</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2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16"/>
        </w:trPr>
        <w:tc>
          <w:tcPr>
            <w:tcW w:w="4620" w:type="dxa"/>
            <w:vAlign w:val="bottom"/>
          </w:tcPr>
          <w:p>
            <w:pPr>
              <w:spacing w:after="0"/>
              <w:rPr>
                <w:sz w:val="18"/>
                <w:szCs w:val="18"/>
                <w:color w:val="auto"/>
              </w:rPr>
            </w:pPr>
          </w:p>
        </w:tc>
        <w:tc>
          <w:tcPr>
            <w:tcW w:w="136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10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60" w:type="dxa"/>
            <w:vAlign w:val="bottom"/>
          </w:tcPr>
          <w:p>
            <w:pPr>
              <w:spacing w:after="0"/>
              <w:rPr>
                <w:sz w:val="18"/>
                <w:szCs w:val="18"/>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6,195,322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(14,647,702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(8,456,285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42,500</w:t>
            </w:r>
          </w:p>
        </w:tc>
        <w:tc>
          <w:tcPr>
            <w:tcW w:w="100" w:type="dxa"/>
            <w:vAlign w:val="bottom"/>
          </w:tcPr>
          <w:p>
            <w:pPr>
              <w:spacing w:after="0"/>
              <w:rPr>
                <w:sz w:val="17"/>
                <w:szCs w:val="17"/>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(1,427,079)</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(1,427,079)</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Convertible Debt and Accrued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(Note 6)</w:t>
            </w: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6,611,214</w:t>
            </w:r>
          </w:p>
        </w:tc>
        <w:tc>
          <w:tcPr>
            <w:tcW w:w="160" w:type="dxa"/>
            <w:vAlign w:val="bottom"/>
          </w:tcPr>
          <w:p>
            <w:pPr>
              <w:spacing w:after="0"/>
              <w:rPr>
                <w:sz w:val="20"/>
                <w:szCs w:val="20"/>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6,611,405</w:t>
            </w:r>
          </w:p>
        </w:tc>
      </w:tr>
      <w:tr>
        <w:trPr>
          <w:trHeight w:val="198"/>
        </w:trPr>
        <w:tc>
          <w:tcPr>
            <w:tcW w:w="4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in Connection with IPO and</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Over-allotment, Net of $1,176,800 of Offering Costs</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5,608,031</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5,608,200</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Underwriter Warrants</w:t>
            </w:r>
          </w:p>
        </w:tc>
        <w:tc>
          <w:tcPr>
            <w:tcW w:w="12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130,980</w:t>
            </w:r>
          </w:p>
        </w:tc>
        <w:tc>
          <w:tcPr>
            <w:tcW w:w="16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130,980</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164,647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164,647</w:t>
            </w:r>
          </w:p>
        </w:tc>
      </w:tr>
      <w:tr>
        <w:trPr>
          <w:trHeight w:val="237"/>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(1,067,673)</w:t>
            </w:r>
          </w:p>
        </w:tc>
        <w:tc>
          <w:tcPr>
            <w:tcW w:w="22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(1,067,673)</w:t>
            </w:r>
          </w:p>
        </w:tc>
      </w:tr>
      <w:tr>
        <w:trPr>
          <w:trHeight w:val="216"/>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2025</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17,325,615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(15,715,375)</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1,606,695</w:t>
            </w:r>
          </w:p>
        </w:tc>
        <w:tc>
          <w:tcPr>
            <w:tcW w:w="100" w:type="dxa"/>
            <w:vAlign w:val="bottom"/>
            <w:tcBorders>
              <w:top w:val="single" w:sz="8" w:color="CCEEFF"/>
            </w:tcBorders>
            <w:shd w:val="clear" w:color="auto" w:fill="CCEEFF"/>
          </w:tcPr>
          <w:p>
            <w:pPr>
              <w:spacing w:after="0"/>
              <w:rPr>
                <w:sz w:val="18"/>
                <w:szCs w:val="18"/>
                <w:color w:val="auto"/>
              </w:rPr>
            </w:pPr>
          </w:p>
        </w:tc>
      </w:tr>
      <w:tr>
        <w:trPr>
          <w:trHeight w:val="410"/>
        </w:trPr>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60" w:type="dxa"/>
            <w:vAlign w:val="bottom"/>
          </w:tcPr>
          <w:p>
            <w:pPr>
              <w:spacing w:after="0"/>
              <w:rPr>
                <w:sz w:val="18"/>
                <w:szCs w:val="18"/>
                <w:color w:val="auto"/>
              </w:rPr>
            </w:pPr>
          </w:p>
        </w:tc>
        <w:tc>
          <w:tcPr>
            <w:tcW w:w="106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4620" w:type="dxa"/>
            <w:vAlign w:val="bottom"/>
          </w:tcPr>
          <w:p>
            <w:pPr>
              <w:spacing w:after="0"/>
              <w:rPr>
                <w:sz w:val="18"/>
                <w:szCs w:val="18"/>
                <w:color w:val="auto"/>
              </w:rPr>
            </w:pPr>
          </w:p>
        </w:tc>
        <w:tc>
          <w:tcPr>
            <w:tcW w:w="1360" w:type="dxa"/>
            <w:vAlign w:val="bottom"/>
            <w:gridSpan w:val="3"/>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Subscription</w:t>
            </w:r>
          </w:p>
        </w:tc>
        <w:tc>
          <w:tcPr>
            <w:tcW w:w="10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20" w:type="dxa"/>
            <w:vAlign w:val="bottom"/>
            <w:gridSpan w:val="3"/>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r>
      <w:tr>
        <w:trPr>
          <w:trHeight w:val="245"/>
        </w:trPr>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Receivable</w:t>
            </w:r>
          </w:p>
        </w:tc>
        <w:tc>
          <w:tcPr>
            <w:tcW w:w="100" w:type="dxa"/>
            <w:vAlign w:val="bottom"/>
          </w:tcPr>
          <w:p>
            <w:pPr>
              <w:spacing w:after="0"/>
              <w:rPr>
                <w:sz w:val="21"/>
                <w:szCs w:val="21"/>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1"/>
                <w:szCs w:val="21"/>
                <w:color w:val="auto"/>
              </w:rPr>
            </w:pPr>
          </w:p>
        </w:tc>
        <w:tc>
          <w:tcPr>
            <w:tcW w:w="116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tcPr>
          <w:p>
            <w:pPr>
              <w:spacing w:after="0"/>
              <w:rPr>
                <w:sz w:val="21"/>
                <w:szCs w:val="21"/>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rPr>
              <w:t>Loss</w:t>
            </w:r>
          </w:p>
        </w:tc>
        <w:tc>
          <w:tcPr>
            <w:tcW w:w="160" w:type="dxa"/>
            <w:vAlign w:val="bottom"/>
          </w:tcPr>
          <w:p>
            <w:pPr>
              <w:spacing w:after="0"/>
              <w:rPr>
                <w:sz w:val="21"/>
                <w:szCs w:val="21"/>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rPr>
              <w:t>Deficit</w:t>
            </w:r>
          </w:p>
        </w:tc>
      </w:tr>
      <w:tr>
        <w:trPr>
          <w:trHeight w:val="236"/>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on December 31, 2023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5,284,362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(11,359,183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(6,079,062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3"/>
        </w:trPr>
        <w:tc>
          <w:tcPr>
            <w:tcW w:w="46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1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46,016</w:t>
            </w:r>
          </w:p>
        </w:tc>
        <w:tc>
          <w:tcPr>
            <w:tcW w:w="100" w:type="dxa"/>
            <w:vAlign w:val="bottom"/>
          </w:tcPr>
          <w:p>
            <w:pPr>
              <w:spacing w:after="0"/>
              <w:rPr>
                <w:sz w:val="17"/>
                <w:szCs w:val="17"/>
                <w:color w:val="auto"/>
              </w:rPr>
            </w:pPr>
          </w:p>
        </w:tc>
      </w:tr>
      <w:tr>
        <w:trPr>
          <w:trHeight w:val="25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(1,034,161)</w:t>
            </w:r>
          </w:p>
        </w:tc>
        <w:tc>
          <w:tcPr>
            <w:tcW w:w="2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(1,034,161)</w:t>
            </w:r>
          </w:p>
        </w:tc>
      </w:tr>
      <w:tr>
        <w:trPr>
          <w:trHeight w:val="225"/>
        </w:trPr>
        <w:tc>
          <w:tcPr>
            <w:tcW w:w="46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on March 31, 2024</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5,330,378</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(12,393,344)</w:t>
            </w:r>
          </w:p>
        </w:tc>
        <w:tc>
          <w:tcPr>
            <w:tcW w:w="220" w:type="dxa"/>
            <w:vAlign w:val="bottom"/>
            <w:tcBorders>
              <w:top w:val="single" w:sz="8" w:color="CCEEFF"/>
            </w:tcBorders>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(15,179)</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(7,067,207)</w:t>
            </w:r>
          </w:p>
        </w:tc>
        <w:tc>
          <w:tcPr>
            <w:tcW w:w="100" w:type="dxa"/>
            <w:vAlign w:val="bottom"/>
            <w:tcBorders>
              <w:top w:val="single" w:sz="8" w:color="CCEEFF"/>
            </w:tcBorders>
          </w:tcPr>
          <w:p>
            <w:pPr>
              <w:spacing w:after="0"/>
              <w:rPr>
                <w:sz w:val="19"/>
                <w:szCs w:val="19"/>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8"/>
              </w:rPr>
              <w:t>For the 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(1,067,673)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(1,034,161)</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42,500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46,016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100,781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5,056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Extension Fees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689,364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 in Fair Value of Stock-Based Compensation Liability - Software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for Services - Software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39,772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(21,767)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(15,822)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(673,495)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91,615</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(21,420)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Payroll</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(204,148)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54,553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23,637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(17,808)</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(159,333)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107,733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181,434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107,360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(Used In) Provided By Operating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(1,767,013)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56,348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Notes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101,650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Notes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(273,626)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Convertible Debt - December 2024,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(227,500)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Debt - December 2024,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72,844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Sale of Common Stock in IPO</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6,785,000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Paid and Netted with IPO Proceeds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(1,176,800)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Offering Costs Paid</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(117,922)</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Flows Provided By Financing Activities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5,195,802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3,428,789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129,192</w:t>
            </w: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at the beginning of the period</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29,228</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33,889</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at the end of the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163,081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376,374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Conversion of Convertible Debt and Accrued Interest into Common Stock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6,611,405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Underwriter Warrants included as Offering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130,980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Stock-Based Compensation Liability Capitalized to Implementation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35,340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Reclassified to Issuance of Common Stock for Services - Software Expense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Reclassified to Capitalized Implementation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Issuance of Common Stock for Capitalized Implementation Costs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124,937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Offering Costs at December 31, 2024 Reclassified to Offering Costs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1,219,176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 Reclassified to Other Receivables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 Reclassified to Prepaid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Reversal of Deferred Offering Costs Accrued at December 31, 2024</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115,000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costs in Accounts Payable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74,000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Series A Preferred Stock to Common Stock</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THE ORGANIZATION AND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History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Brag House Holdings, Inc. (“Brag House” or “BHHI” or the “Company”) was formed as a Delaware corporation on December 3, 2021. The Company’s principal executive offices are located at 45 Park Street, Montclair, NJ 07042.</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was formed as a Delaware corporation in February 2018. Their principal offices are located at 45 Park Street, Montclair, NJ 07042.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(“IPO”) in the United States and concurrent listing on Nasdaq be pursued. To effect that proposed IPO and listing on Nasdaq, in December 2021, the Company was formed. In connection with this IPO, prior to the effectiveness of the registration statement,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 Management anticipates that BHL will be wound down and dissolved as soon as reasonably practicable following the consummation of the IPO.</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11, 2024, the Company’s board of directors approved, and on June 13, 2024, the Company’s stockholders approved the original reverse stock split (“Original Reverse Stock Split”). On June 14, 2024, the Company filed the Second Certificate of Amendment to its Certificate of Incorporation to effect the Original Reverse Stock Split, such that every holder of Common Stock and Series A Preferred Stock of the Company received 1 share of Common Stock and 1 share of Series A Preferred Stock for every 5.1287 of a share held. On October 11, 2024, the Company canceled the Original Reverse Stock Split and effected a 1 for 2.43615 consolidation of its issued and outstanding Common Stock and Series A Preferred Stock (the “Reverse Stock Split”). On October 11, 2024, the Company filed the Third Certificate of Amendment to its Certificate of Incorporation to effect the Reverse Stock Split. The Conversion Price of Series A convertible preferred stock, par value $0.0001 per share (the “Series A Preferred Stock”), will reflect the Reverse Stock Split. All fractional shares created by the 1 for 2.43615 exchange will be paid in cash. The resulting payment amount due for the fractional shares is not material. The Reverse Stock Split had no impact on the par value per share of the Company’s Common Stock and Series A Preferred Stock, all of which remain at $0.0001. All current and prior period amounts related to shares, share prices and loss per share, presented in the Company’s financial statements and the accompanying Notes have been restated for the Reverse Stock Split.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U.S. Securities and Exchange Commission (“SEC”) and became a public company. On March 5, 2025, the Company entered into a material definitive agreement in the form of an underwriting agreement with Kingswood Capital Partners, LLC (“Kingswood”) as representative of the underwriters named therein, for the offer and sale of 1,475,000 shares of the Company’s common stock at a public offering price of $4.00 per share for gross proceeds of $5.9 million, before deducting underwriting discounts and other related expenses totaling $1.1 million.</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underwriting agreement, as partial compensation for their services,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The terms of the Underwriter Warrants are substantially the same as the terms set forth in the form of such warrants which is filed as Exhibit 4.1 to the report on Form 8-K filed by the Company on March 11, 2025.</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before deducting underwriting discounts and other related expenses totaling $95,800. The over-allotment exercise closed on March 11, 2025 and, on that same date, the Company issued a press release announcing the closing of the over-allotment exercise.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the Business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Brag House is a vertically integrated social network for college esports. The Company’s mission is to create a community which empowers gamers, streamers, and fans to interact with one another. The Company’s platform, which focuses on building a centralized esports experience for non-professional college gamers and their fans, achieves this by allowing college students to compete against one another, support their favorite gamers and teams, and win prizes.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Going Concern</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the basis that the Company will continue as a going concern, which contemplates realization of assets and the satisfaction of liabilities in the normal course of business. As of March 31, 2025, the Company had an accumulated deficit of $15,715,375. For the three months ended March 31, 2025, the Company had a net loss of $1,067,673 and negative cash flows from operations of $1,767,013.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these losses primarily through the sale of equity and infusions of cash from advances by its Chief Executive Officer, and plans to continue funding operations through the sale of equity or issuance of debt instruments. The accompanying condensed consolidated financial statements do not include any adjustments that might be necessary should the Company be unable to continue as a going concern for the next twelve months from the issuance of these condensed consolidated financial statements.</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also secured a strategic partnership for tournament and promotional events in 2025 with Learfield Communications, LLC, formerly Learfield IMG College, a billion dollar media company that holds the media rights to hundreds of colleges in the US, including collegiate properties such as the NCAA and its 89 championships and NCAA Football. The partnership’s first activation was held online on May 17, 2025 for students and alumni of the University of Florida, one of Learfield’s media rights properties. The Company believes this partnership positions it to leverage Learfield’s college network to generate sponsorship revenue and brand engagement opportunities, while giving the Company access to extensive datasets from diverse college campuses as the Company evolves into a scalable data insight revenue model, where the Company aims to enable brands to gain data insights to create enhanced, personalized and effective marketing campaigns. The Company further believes this partnership will contribute directly to its model through shared sponsorship earnings, while validating its marketing and data strategy for reaching college-aged Gen Z gamers. Through this, the Company plans to scale across Learfield’s properties, expanding brand partnerships in the gaming and esports spaces.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NATURE OF THE ORGANIZATION AND BUSINESS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Until revenue from such tournaments provides sufficient and steady cash flow, management intends to raise funds through equity and debt offerings, and believes that the actions presently being taken to further implement its business plan will enable the Company to continue as a going concern. While the Company believes in its ability to raise additional funds, there can be no assurances to that effect. The ability of the Company to continue as a going concern is dependent upon the Company’s ability to further implement its business plan and raise additional funds as described.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no assurances can be given as to the Company’s ability to deliver on its revenue plans or that unforeseen expenses will not arise, management believes that the revenue to be generated from operations, together with equity and debt financing, will provide the necessary funding for the Company to continue as a going concern. However, the Company has earned minimal revenue through the quarter ended March 31, 2025, and management cannot guarantee that any potential debt or equity financing will be available or, if available, will be available on favorable terms. As such, these matters raise substantial doubt about the Company’s ability to continue as a going concern for the next twelve months from the issuance of the accompanying condensed consolidated financial statements. If adequate funds are not available on acceptable terms, or at all, the Company will need to curtail operations or cease operations completely.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Emerging Growth Company</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2(a)(19) of the Securities Act, as modified by the Jumpstart Our Business Startups Act of 2012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of 2002, reduced disclosure obligations regarding executive compensation in its periodic reports and proxy statements, and exemptions from the requirements of holding a non binding advisory vote on executive compensation and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(“GAAP”) and applicable rules and regulations of the SEC regarding interim financial reporting. In the opinion of management, the accompanying unaudited condensed consolidated financial statements contain all adjustments (consisting of normal recurring adjustments) and disclosures necessary for a fair statement of the Company’s financial position as of March 31, 2025 and the results of its operations for the three months then ended. The results of operations for the three months ended March 31, 2025 are not necessarily indicative of the results to be expected for the year ending December 31, 2025 or for any other interim period or for any other future year. These interim unaudited condensed consolidated financial statements should be read in conjunction with the audited consolidated financial statements and notes thereto contained in the Company’s Annual Report within its Form 10-K filing. Interim disclosures generally do not repeat those in the annual statements. The Company and its subsidiaries operate as a single operating segment.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balances and transactions have been eliminated in consolidation.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reported amounts of assets, liabilities, equity-based transactions and disclosure of contingent assets and liabilities at the date of the financial statements and the reported amounts of revenues and expenses during the reporting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bases its estimates and assumptions on an ongoing basis using historical experience and other factors, known or expected trends and various other assumptions that it believes to be reasonable. As future events and their effects cannot be determined with precision, actual results could differ from these estimates, which may cause the Company’s future results to be affected.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maturities of three months or less at the time of purchase to be cash equivalents. As of March 31, 2025, the Company had $3,175,000 of cash in a sweep account, which is classified as cash. There were no cash equivalents as of March 31, 2025 and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Trade accounts receivable are stated net of an allowance for credit losses. The Company estimates the credit losses using historical information, current economic conditions and reasonable and supportable forecast information for a reasonable period of time. The Company starts by determining expected credit losses by using historical loss information based on the aging of receivables. An analysis of the current economic conditions along with forecast information is then used to determine any adjustment to the historical loss rates to determine the appropriate rates for future losses and the Company’s current expected credit losses for trade receivables. As of March 31, 2025 and December 31, 2024, there were no accounts receivable balances. As such, an allowance was not necessary.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 Costs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offering costs were reclassified to additional paid-in capital from deferred offering costs. These amounts are shown, along with underwriters’ fees paid, net against IPO proceeds received. The Company recorded $0 and $1,219,176 of deferred offering costs in the accompanying condensed consolidated balance sheets as of March 31, 2025 and December 31, 2024, respectively. During the three months ended March 31, 2025 and 2024, the Company incurred a total of $131,922 and $121,279, respectively, in additional deferred offering costs in connection with the offering of equity securities. As of March 31, 2025, a total of $1,351,098 was reclassified from deferred offering costs to offering costs. Of this amount, $1,236,099 is recorded as offering costs and the remaining $115,000 was paid directly from the IPO proceeds and included in the offering costs which are netted against the IPO proceeds on the condensed consolidated statements of changes in stockholders’ equity (deficit).</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during the three months ended March 31, 2025, additional offering costs of $1,252,780 were incurred simultaneously with the closing of the IPO. Of this amount, $190,980 is recorded as offering costs and the remaining $1,061,800 is displayed as a net amount against the IPO and over-allotment option proceeds on the condensed consolidated statements of changes in stockholders’ equity (deficit).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Receivable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share issuances at the effective date. If the subscription is not funded upon issuance, the Company records a subscription receivable as an asset on a balance sheet. When subscription receivables are not received prior to the issuance of financial statements at a reporting date in satisfaction of the requirements under Financial Accounting Standards Board (the “FASB”) Accounting Standards Codification (“ASC”) 505-10-45-2, “Equity” — Other Presentation Matters, the subscription receivable is reclassified as a contra account to stockholders’ equity (deficit) on the condensed consolidated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Retention Tax Credit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Coronavirus Aid, Relief, and Economic Security Act (the “CARES Act”) provided an employee retention credit which was a refundable tax credit against certain employment taxes. The Consolidated Appropriations Act (the “Appropriations Act”) extended and expanded the availability of the employee retention credit through December 31, 2021. The Appropriations Act amended the employee retention credit to be equal to 70% of qualified wages paid to employees during the 2021 fiscal year. The Company qualified for the employee retention credit beginning in October 2021 for qualified wages through December 2021 and filed a cash refund claim during year ended December 31, 2023.</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a tax credit receivable of $34,667 included as an other receivable in the current assets section of the Company’s condensed consolidated balance sheet as of March 31, 2025 and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and cash equivalents in financial institutions, which, at times, may exceed the Federal Depository Insurance Coverage of $250,000. As of March 31, 2025, the Company was exposed to significant risks in two of its bank accounts, which had balances that exceeded the insurance coverage amount by a total of $3,208,017. The Company has not experienced any losses in such accounts.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and marketing costs as they are incurred. Advertising and marketing expenses were $81,450 and $0 for the three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defined in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fair value is the price that would be received to sell an asset or paid to transfer a liability in an orderly transaction between market participants at the measurement date (exit price).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ASC 820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This fair value measurement framework applies at both initial and subsequent measurement.</w:t>
      </w:r>
    </w:p>
    <w:p>
      <w:pPr>
        <w:spacing w:after="0" w:line="18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Level 1:  Quoted prices are available in active markets for identical assets or liabilities as of the reporting date.</w:t>
      </w:r>
    </w:p>
    <w:p>
      <w:pPr>
        <w:spacing w:after="0" w:line="279" w:lineRule="exact"/>
        <w:rPr>
          <w:sz w:val="20"/>
          <w:szCs w:val="20"/>
          <w:color w:val="auto"/>
        </w:rPr>
      </w:pPr>
    </w:p>
    <w:p>
      <w:pPr>
        <w:jc w:val="center"/>
        <w:ind w:left="1000" w:right="20"/>
        <w:spacing w:after="0" w:line="282" w:lineRule="auto"/>
        <w:rPr>
          <w:sz w:val="20"/>
          <w:szCs w:val="20"/>
          <w:color w:val="auto"/>
        </w:rPr>
      </w:pPr>
      <w:r>
        <w:rPr>
          <w:rFonts w:ascii="Times New Roman" w:cs="Times New Roman" w:eastAsia="Times New Roman" w:hAnsi="Times New Roman"/>
          <w:sz w:val="18"/>
          <w:szCs w:val="18"/>
          <w:color w:val="auto"/>
        </w:rPr>
        <w:t>Level 2:  Pricing inputs are other than quoted prices in active markets included in Level 1, which are either directly or indirectly observable as of the reported date. Level 2 includes those financial instruments that are valued using models or other valuation methodologies.</w:t>
      </w:r>
    </w:p>
    <w:p>
      <w:pPr>
        <w:spacing w:after="0" w:line="189" w:lineRule="exact"/>
        <w:rPr>
          <w:sz w:val="20"/>
          <w:szCs w:val="20"/>
          <w:color w:val="auto"/>
        </w:rPr>
      </w:pPr>
    </w:p>
    <w:p>
      <w:pPr>
        <w:jc w:val="both"/>
        <w:ind w:left="1420" w:hanging="715"/>
        <w:spacing w:after="0" w:line="261" w:lineRule="auto"/>
        <w:rPr>
          <w:sz w:val="20"/>
          <w:szCs w:val="20"/>
          <w:color w:val="auto"/>
        </w:rPr>
      </w:pPr>
      <w:r>
        <w:rPr>
          <w:rFonts w:ascii="Times New Roman" w:cs="Times New Roman" w:eastAsia="Times New Roman" w:hAnsi="Times New Roman"/>
          <w:sz w:val="18"/>
          <w:szCs w:val="18"/>
          <w:color w:val="auto"/>
        </w:rPr>
        <w:t>Level 3: Pricing inputs include significant inputs that are generally less observable from objective sources. These inputs may be used with internally developed methodologies that result in management’s best estimate of fair value. The significant unobservable inputs used in the fair value measurement for nonrecurring fair value measurements of long-lived assets include pricing models, discounted cash flow methodologies and similar techniques.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carrying value of the Company’s financial instruments: cash and cash equivalents, other receivables, accounts payable and accrued liabilities, and borrowings, approximate their fair values because of the short-term nature of these financial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measures its stock-based compensation liability at fair value on a recurring basis. Please refer to Note 9 for a discussion on fair value measurements.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Awards with a Guaranteed Minimum-Value Cash Settlement - Technology Purchase Agreements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evaluates its stock-based compensation arrangements within the scope of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Company has issued an equity award with a guaranteed minimum-value cash settlement in accordance with the terms that were agreed upon by the Company in the Master Services Agreement (“MSA”) with Artemis Ave LLC (“Artemis”) and the Software as a Service Agreement (the “SaaS” Agreement) with EVEMeta, LLC (“EVEMeta”). Subsection ASC 718-10-20 defines these equity awards as combination awards. Under this classification, the share grant is accounted for as an equity-classified award measured at grant-date fair value, and the cash-settled written put option is liability classified and marked to fair value at each reporting period. Compensation costs for the share grant is measured and fixed on the date of grant and recognized over the vesting period, which is consistent with the delivery of goods and services. Compensation costs associated with the cash-settled written put option should be recognized over the vesting period based on the remeasured fair value at each reporting period, which is consistent with the delivery of goods and services from the vendor, until settlement. To value the cash-settled written put option, the Company remeasures the fair market value of the written put option via an appropriate option pricing model in accordance with ASC 718, and records the appropriate liability as of each reporting period with a corresponding adjustment to software expense. The Company determines the fair value of the liability using a Monte Carlo simulation model at each reporting period. As of March 31, 2025, the fair value measurement of the cash-settled written put option for services provided thus far resulted in a stock-based compensation liability of $44,392. Please refer to Notes 4 and 5 for a detailed explanation of the terms of the technology purchase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Cloud Computing Arrangements - Technology Purchase Agreements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applies the guidance under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when evaluating the applicable accounting treatment for the purchase of technological products and services. The Company has determined that the MSA with Artemis and the SaaS agreement with EVEMeta constitute a cloud computing arrangement (“CCA”). The terms of the agreements provide for software development, which include CCA implementation costs, support and maintenance services, and the use of the EVEMeta compression software. The Company accounts for the CCA implementation costs in a different manner than the support and maintenance services from the Artemis agreement and the terms of the SaaS agreement with EVEMeta.</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capitalizes implementation costs associated with its CCA consistent with costs capitalized for internal-use software. The stock-based payments provided in advance for implementation costs are recorded as capitalized implementation costs as the services are rendered. Capitalized implementation costs related to the CCA are included on the condensed consolidated balance sheets. The CCA implementation costs are amortized over the term of the related hosting agreement, including renewal periods that are reasonably certain to be exercised. Amortization will begin only when the software is placed into use and the amortization expense will be recorded as an operating expense. As of December 31, 2024, $63 was recognized as a non-current prepaid expense asset related to the development services to be provided by Artemis. As of March 31, 2025 and December 31, 2024, $160,340 and $0 was recognized, respectively, as capitalized implementation costs related to the Company’s cloud computing arrangements and no amortization expense has been recognized for the three months ended March 31, 2025 or 2024 as the software is in the process of being developed by Artemis. The amount of $160,340 is a recognition of $125,000 for services provided, which included the reclassification of the $63 recorded as a non-current prepaid expense asset as of December 31, 2024, and a portion of the change in fair value of the stock-based compensation liability which equaled $35,340 during the three months ended March 31, 2025.</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costs associated with the support and maintenance services and the use of the EVEMeta compression software are recorded as software expenses over the service period defined in the respective agreements. As of December 31, 2024, $62 was recognized as a non-current prepaid expense asset related to the services by Artemis and EVEMeta for support and maintenance. During the three months ended March 31, 2025, the Company recorded software expenses of $39,772 in connection with the services rendered with the support and maintenance services and the use of the EVEMeta compression software, which included the expensing of the $62 recorded as a non-current prepaid expense asset as of December 31,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accounts for convertible debt instruments in accordance with the provisions of ASC 470-20,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Under this guidance, convertible debt instruments that do not meet the criteria for separation of embedded conversion features from the host contract are accounted for as a single liability. If a convertible debt instrument contains embedded features (e.g., conversion options, redemption rights) that require separate accounting under ASC 815, the Company evaluates such features and bifurcates them as derivative liabilities when applicable. Issuance costs related to convertible debt are presented as a direct deduction from the carrying amount of the liability and are amortized to interest expense over the term of the debt using the effective interest method.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incurred obligations that are payable in shares of the Company’s equity. If shares are not issued to satisfy those obligations, a short-term liability is recognized as a share payable. The Company has a share payable balance of $213,934 and $32,500 as of March 31, 2025 and December 31, 2024, respectively. Please refer to Notes 6 and 10 for more detail.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“Revenue Recognition” following the five step procedure: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mainly from advertising, sponsorship and league tournaments. An insignificant amount of revenue is generated through the operation of its live streaming platform using a revenue model whereby gamers and creators can get free access to certain live streaming of amateur tournaments, and gamers and creators pay fees or subscriptions to compete in league competitions. Streaming revenue amounts are recognized as live-streaming services on the condensed consolidated statements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Company’s non-U.S. operations where the functional currency is the local currency, the Company translates assets and liabilities at exchange rates in effect at the balance sheet date and record translation adjustments in stockholders’ equity. The Company translates income statement amounts at average rates for the period. Transaction gains and losses are recorded in other (income) expense, net in the Condensed Consolidated Statement of Operations and Comprehensive Loss.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reports comprehensive loss and its components in its condensed consolidated financial statements. Comprehensive loss consists of net loss and foreign currency translation adjustments, affecting stockholders’ equity (deficit) that, under U.S, GAAP, is excluded from net 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 per Common Share</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computation of earnings per share (“EPS”) includes basic and diluted EPS in accordance with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Basic EPS is measured as the income (loss) available to common stockholders divided by the weighted average common shares outstanding for the period. Diluted income (loss) per share reflects the potential dilution, using the if-converted and treasury stock methods, that could occur if securities or other contracts to issue common stock were exercised or converted into common stock or resulted in the issuance of common stock that then shared in the income (loss) of the Company as if they had been converted at the beginning of the periods presented, or issuance date, if later. In computing diluted income (loss) per share, the treasury stock method assumes that outstanding options and warrants have been exercised, and the proceeds have been used to purchase common stock at the average market price during the period. Options and warrants may have a dilutive effect under the treasury stock method only when the average market price of the common stock during the period exceeds the exercise price of the options and warrants. Potential common shares that have an anti-dilutive effect (i.e., those that increase income per share or decrease loss per share) are excluded from the calculation of diluted EPS. All outstanding convertible promissory notes are considered common stock at the beginning of the period or at the time of issuance, if later, pursuant to the if-converted method. Since the effect of common stock equivalents is anti-dilutive with respect to losses, the shares issuable upon conversion have been excluded from the Company’s computation of net loss per common share for the three months ended March 31, 2025 and 2024.</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table summarizes the securities that are excluded from the diluted per share calculation because the effect of including these potential shares is anti-dilutive due to the Company’s net loss. In accordance with the Reverse Stock Split on October 11, 2024, the number of shares of common stock underlying the Convertible Debt, the Convertible Series A Preferred Stock, Warrants, Shares Payable and Unvested Restricted Stock are now 1 for 2.43615, and the below information gives effect to the Reverse Stock Split: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As of March 31,</w:t>
            </w: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1,748,390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52,336</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128,995</w:t>
            </w:r>
          </w:p>
        </w:tc>
        <w:tc>
          <w:tcPr>
            <w:tcW w:w="8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22,014</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72,163</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Stock</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82,096</w:t>
            </w: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10,361</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118,371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2,031,644</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no dividends have been declared since inception and all classes of BHHI’s stock do not have cumulative dividend features. As such, the Company did not include any adjustment to the net loss for dividends. Ultimately, there was no adjustment needed to determine dilutive loss per share and only basic loss per share was calculated.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represents the calculation for both basic and diluted net loss per share (as adjusted for the Reverse Stock Split):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(1,067,673)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(1,034,161)</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7,666,404</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5,615,934</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 Basic and Diluted</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follows the asset and liability method of accounting for income taxes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Company’s temporary differences result primarily from capitalization of certain qualifying research and development expenses, stock-based compensation, and net operating loss carryovers. The effect on deferred tax assets and liabilities of a change in tax rates is recognized in income in the period that includes the enactment date. A valuation allowance is recorded for deferred tax assets if it is more likely than not that some portion or all of the deferred tax assets will not be realized.</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recognizes the effect of income tax positions only if those positions are more likely than not to be sustained. Recognized income tax positions are measured at the largest amount that is greater than 50% of likely being realized. Changes in recognition or measurement are reflected in the period in which the change in judgment occurs.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records interest related to unrecognized tax benefits in interest expense and penalties in selling, general and administrative expenses.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with stockholder’s consent, elected to be taxed as an “S-Corporation” during the years prior to 2021 under the provisions of the Internal Revenue Code under Section 1362(a) and comparable state income tax law. As an S-Corporation, the Company is generally not subject to corporate income taxes and the Company’s net income or loss is reported on the individual tax return of the stockholders of the Company. As a result of the UK Reorganization, the Company was no longer eligible to elect an S-Corporation status for tax purposes and was subject to tax filings as a C-Corporation for the years ending 2021 through 2023. The Company is in the process of filing all necessary Federal and State tax returns as a C-Corporation for the years ending 2021 through 2024, and has accrued $95,000 as of March 31, 2025 and December 31, 2024 for any potential non-compliance penalties that may be incurred as a selling, general and administrative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identified its federal, New York state, and United Kingdom tax returns as its “major” tax jurisdictions. The period for income tax returns that are subject to examination for the United Kingdom jurisdiction is 2021. All other periods for income tax returns are subject to examination for the federal and New York state jurisdictions. The Company believes its income tax filing positions and deductions will be sustained on audit, and management does not anticipate any adjustments that would result in a material change to its financial position. Therefore, no liabilities for uncertain tax positions have been recorded.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March 31, 2025, the Company had approximately $10,279,894 in gross federal net operating loss carry-forwards. The Company also had approximately $11,940,453 in gross state net operating loss carry-forwards. As a result of the Tax Cuts Job Act 2017 (the “Act”), certain future federal carry-forwards do not expire. Beginning in 2018, under the TCJ Act, federal loss carryforwards have an unlimited carryforward period, however such losses can only offset 80% of taxable income in any one year. The Company has not performed a formal analysis, but believes its ability to use such net operating losses and tax credit carry-forwards in the future is subject to annual limitations due to change of control provisions under Sections 382 and 383 of the Internal Revenue Code, which will significantly impact its ability to realize these deferred tax assets. For net loss carryforwards in the State of New York, the Company is able to carry it back three tax years preceding the tax year of the loss (the loss year). However, a loss cannot be carried back to a tax year beginning before January 1, 2015. The loss is first carried to the earliest of the three tax years. If it is not entirely used in that year, the remainder is carried to the second tax year preceding the loss year, and any remaining amount is carried to the tax year immediately preceding the loss year. Any unused amount of loss then remaining may be carried forward for as many as 20 tax years following the loss year. Losses carried forward are carried forward first to the tax year immediately following the loss year, then to the second tax year following the loss year, and then to the next immediately subsequent tax year or years until the loss is used up or the 20th tax year following the loss year, whichever comes first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recorded a valuation allowance in the full amount of its net deferred tax assets since realization of such tax benefits has been determined by the Company’s management to be less likely than not. The valuation allowance increased $111,930 during the quarter ended March 31,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 is 0% for the three months ended March 31,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 Restricted Stock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measures and records the expense related to stock-based payment awards based on the fair value of those awards as determined on the date of grant. The Company recognizes stock-based compensation expense over the requisite service period of the grant, generally equal to the vesting period, and uses the straight-line method to recognize stock-based compensation. For stock options with performance conditions, the Company records compensation expense when it is deemed probable that the performance condition will be met. Companies typically use the Black-Scholes-Merton (“Black-Scholes”) option-pricing model to determine the fair value of stock awards. The Black-Scholes option-pricing model requires the use of highly subjective and complex assumptions, which determine the fair value of stock- based awards, including the option’s expected term and the price volatility of the underlying stock. No stock options have been issued by the Company through March 31, 2025. The Company issued 44,250 warrant shares to the underwriter in connection with the IPO as of March 31, 2025. Please refer to Notes 1 and 5 for more information on the Underwriter Warrants. Restricted stock awards are valued based on the fair value on the date of grant and amortized ratably over the estimated life of the award. Restricted stock may vest based on the passage of time, or upon occurrence of a specific event or achievement of goals as defined in the grant agreements. In such cases, the Company records compensation expenses related to grants of restricted stock based on management’s estimates of the probable dates of the vesting events. The Company recognizes forfeitures of stock-based awards as they occur.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 SUMMARY OF SIGNIFICANT ACCOUNTING POLICIES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but not yet Adopted Accounting Pronouncements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This ASU requires the use of consistent categories and greater disaggregation in tax rate reconciliations and income taxes paid disclosures. These amendments are effective for fiscal years beginning after December 15, 2024 and for interim periods in fiscal years beginning after December 31, 2025. These income tax disclosure requirements can be applied either prospectively or retrospectively to all periods presented in the financial statements. Management is currently evaluating the impact of adopting this standard, and do not expect it to have a material impact on the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2024, the SEC issued its final climate disclosure rules, which require the disclosure of climate-related information in annual reports and registration statements. The rules require disclosure in the audited financial statements of certain effects of severe weather events and other natural conditions above certain financial thresholds, as well as amounts related to carbon offsets and renewable energy credits or certificates, if material. Under the rules as originally issued, disclosure requirements begin phasing in for fiscal years beginning on or after January 1, 2027. However, on April 4, 2024, the SEC determined to voluntarily stay the final rules pending certain legal challenges. The Company is currently evaluating the impact of new rules and continues to monitor the status of the related legal challenges.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The standard requires that public business entities disclose additional information about specific expense categories in the notes to financial statements for interim and annual reporting periods. The standard will become effective for the Company for its fiscal year 2027 annual financial statements and interim financial statements thereafter and may be applied prospectively to periods after the adoption date or retrospectively for all prior periods presented in the financial statements, with early adoption permitted. The Company plans to adopt the standard beginning with the fiscal year 2027 annual financial statements, and management is currently evaluating the impact this standard will have on the disclosures included in the notes to the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follows ASC 850, “</w:t>
      </w:r>
      <w:r>
        <w:rPr>
          <w:rFonts w:ascii="Times New Roman" w:cs="Times New Roman" w:eastAsia="Times New Roman" w:hAnsi="Times New Roman"/>
          <w:sz w:val="18"/>
          <w:szCs w:val="18"/>
          <w:i w:val="1"/>
          <w:iCs w:val="1"/>
          <w:color w:val="auto"/>
        </w:rPr>
        <w:t>Related Party Disclosures</w:t>
      </w:r>
      <w:r>
        <w:rPr>
          <w:rFonts w:ascii="Times New Roman" w:cs="Times New Roman" w:eastAsia="Times New Roman" w:hAnsi="Times New Roman"/>
          <w:sz w:val="18"/>
          <w:szCs w:val="18"/>
          <w:color w:val="auto"/>
        </w:rPr>
        <w:t>,” for the identification of related parties and disclosure of related party transactions.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payables to the Company’s co-founder and Chief Executive Officer, the Company’s co-founder and Chief Operating Officer and an employee, for reimbursable expenses totaling $2,883 and $24,303, respectively. During the three months ended March 31, 2025, the Company added $4,818 in payables and repaid $26,238. During 2024, the Company added $51,712 in payables and repaid a total of $37,020.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its business transactions and agreements during the course of business to identify whether any contingencies or commitments exist which would give rise to the recognition of a loss or liability. The Company is currently not involved with or knows of any pending or threatening litigation against the Company or any of its officers. Further, the Company is currently complying with all relevant laws and regulations and does not have any long-term commitments or guarantees.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March of 2024, the Company entered into a marketing agreement with Outside the Box Capital, Inc. (“OTB Capital”) for marketing services to be provided for the six-month period from May 1, 2024 to October 31, 2024. Compensation for these services will be $100,000 in cash and due upon the earlier of the successful completion of the Company’s IPO or within six months from the effective date of the agreement. Additionally, the Company will issue shares of BHHI Common Stock, priced at the IPO, totaling $200,000 which equals 50,000 shares. These shares became due 10 days after the successful completion of the Company’s IPO on March 6, 2025, deemed the listing date, and were issued in April of 2025. This balance of $200,000 was separated into 6 months of service and the portion of one month representing the month of March, $33,333, was added to the shares payable balance during the three months ended March 31, 2025 and remains outstanding as of March 31, 2025. Lastly, if within the term of the Company’s agreement with OTB Capital, the Company’s shares achieve a 7-day moving average (calculated using daily VWAP) share price of $9 or more, the Company will issue an additional 50,000 shares to OTB Capital. This share price threshold was not achieved during the three months ended March 31, 2025. Services under this contract were not provided during the expected service period of May through October of 2024. A modification of the agreement was negotiated and finalized in November of 2024. Services were amended to begin on December 15, 2024 through June 15, 2025. Services had not yet commenced as of December 31, 2024 and through March 5, 2025. As a result, another modification of the agreement was executed on March 28, 2025. This new agreement revised the dates of service to begin on March 6, 2025 through September 6, 2025. It also revised the terms of compensation and, as a result, the base compensation of $100,000 will be payable in two tranches, the first payment for $50,000 within 10 business days following the Company’s listing date as a publicly traded company (“Listing Date”) and the second and final payment for the remaining amount will be due three months from the Listing Date. The first payment of $50,000 was made in April of 2025. No accrual for a liability was required or recorded as of December 31, 2024. This balance of $50,000 was separated into 3 months of service and the portion of one month representing the month of March, $16,667, was recorded as an advertising and marketing expense during the three months ended March 31, 2025 and accounts payable as of March 31, 2025. Please refer to Note 10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Broncos Sponsorship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2023, the Company entered into a sponsorship agreement with Stadium Management Company and the Denver Broncos. This resulted in marketing expenses totaling $305,000 during the year ended December 31, 2023. In September of 2024, the parties concluded the sponsorship agreement and this resulted in a reduction of the payable amount from $305,000 to $61,000. The reduction of $244,000 was recorded as other income during the year ended December 31, 2024. This balance of $61,000 remains outstanding as of March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Purchase Agreements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(the “Artemis Effective Date”), the Company entered into a MSA with Artemis, a skilled technology company, whereby Artemis agreed to develop a proprietary machine learning solution for the Company’s platform (the “Software”) and provide certain services. In exchange, the Company agreed to issue 937,500 shares of its Common Stock to Artemis (the “Artemis Stock Consideration”) in December 2024. The Artemis Stock Consideration is subject to a lock-up provision, with shares of the Artemis Stock Consideration to be released in three (3) equal tranches of 312,500 shares each according to the terms outlined in the MSA and the respective Statements of Work (“SOWs”) attached thereto. In connection with the execution of the MSA, on November 13, 2024 (the “EVEMeta Effective Date”), the Company entered into a SaaS Agreement with EVEMeta, an innovative technology company, whereby EVEMeta agreed to license its solution to the Company. In exchange, the Company agreed to issue 312,500 shares of its Common Stock to EVEMeta (the “EVEMeta Stock Consideration” and, collectively, with the Artemis Stock Consideration, the “Stock Consideration”). The 1,250,000 shares granted to Artemis and EVEMeta in exchange for services had a fair market value of $4.00 per share at the date of grant for a total cost of $5,000,000. Further, once released from lock up, the Company will provide each vendor with a guarantee of a minimum value for the released shares for 18 months from the date of release. In the event that either vendor is not able to resell the shares at the IPO price of $4.00 per share, the Company will make additional payments under its minimum value guarantee to the vendor in cash to ensure a total compensation of $3,750,000 to Artemis and $1,250,000 to EVEMeta. Those payments will be made in cash and not in additional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issuances of the Stock Consideration are accounted for as a combination award in accordance with the accounting provisions under ASC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and ASC 350-40, “</w:t>
      </w:r>
      <w:r>
        <w:rPr>
          <w:rFonts w:ascii="Times New Roman" w:cs="Times New Roman" w:eastAsia="Times New Roman" w:hAnsi="Times New Roman"/>
          <w:sz w:val="18"/>
          <w:szCs w:val="18"/>
          <w:i w:val="1"/>
          <w:iCs w:val="1"/>
          <w:color w:val="auto"/>
        </w:rPr>
        <w:t>Intangibles – Goodwill and Other-Internal-Use Software</w:t>
      </w:r>
      <w:r>
        <w:rPr>
          <w:rFonts w:ascii="Times New Roman" w:cs="Times New Roman" w:eastAsia="Times New Roman" w:hAnsi="Times New Roman"/>
          <w:sz w:val="18"/>
          <w:szCs w:val="18"/>
          <w:color w:val="auto"/>
        </w:rPr>
        <w:t>” as noted in Note 2, regarding the technology purchase agreements.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Stock Consideration is classified as a combination of equity awards (referred to herein as Issuance of Common Stock for Services) or liability awards (referred to herein as Stock-Based Compensation Liability) in accordance with GAAP. The fair value of an equity-classified award is determined at the grant date and is either recognized as an expense to software expense, an operating expense, on a straight-line basis over the service period, or is capitalized as an implementation cost and amortized to software expense over the useful life of the cloud computing arrangement once the software is placed in use. Whether the amount is expensed or capitalized is based on the respective statement of work in each agreement, the value attributed to each and the realization of those services. The fair value of a liability-classified award is determined on a quarterly basis beginning at the grant date until final vesting. Changes in the fair value of liability-classified awards are either recorded to software expense, an operating expense, on a straight-line basis over the service period, or capitalized as an implementation cost and amortized to software expense over the useful life of the cloud computing arrangement once the software is placed in use. Changes in the fair value of liability-classified awards do not result in an impact to the Company’s stockholders’ equity balance.</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2024, the Company only recognized the par value of the shares that were issued and has recorded $125 as a non-current prepaid expense in other assets. The services in accordance with the agreements commenced on the Company’s IPO date, March 7, 2025, and as of March 31, 2025, services have been performed under the agreements and compensation costs for the services rendered has been recognized as a software expense or capitalized to capitalized implementation costs, based on the respective agreements.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amounts in total non-employee stock-based compensation costs in relation to the Stock Consideration issued for the technology purchase agreements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Consideration - Total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 Consideration - Total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160,340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Equity-Classified Awards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amounts in non-employee equity-classified stock-based compensation costs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Equity-Classified Awards - Expensed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39,772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Equity-Classified Awards - Capitalized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March 31, 2025, there was $4.8 million of total unrecognized compensation cost related to the Company’s equity-classified awards. This cost is expected to be recognized over a weighted-average period of 6.51 years. During the three months ended March 31, 2025, the Company recorded software expenses of $39,772 in connection with the services rendered with the support and maintenance services with Artemis and the use of the EVEMeta compression software, which included the expensing of the $62 previously recorded as a non-current prepaid expense asset and Common Stock as of December 31, 2024, for a total increase to stockholders’ equity of $39,710. Further, the Company recorded an increase to capitalized implementation costs of $125,000 in connection with the development services rendered, which included the expensing of the $63 previously recorded as a non-current prepaid expense asset and Common Stock as of December 31, 2024, for a total increase to stockholders’ equity of $124,937. As a result, the total increase to stockholders’ equity for the issuance of common stock for services was $164,647 for the three months ended March 31, 2025, which is the sum of the aforementioned $39,710 and $124,937 amounts.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Liability-Classified Awards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amounts in non-employee liability-classified stock-based compensation costs for the three months ended March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45"/>
        </w:trPr>
        <w:tc>
          <w:tcPr>
            <w:tcW w:w="4240" w:type="dxa"/>
            <w:vAlign w:val="bottom"/>
          </w:tcPr>
          <w:p>
            <w:pPr>
              <w:spacing w:after="0"/>
              <w:rPr>
                <w:sz w:val="21"/>
                <w:szCs w:val="21"/>
                <w:color w:val="auto"/>
              </w:rPr>
            </w:pPr>
          </w:p>
        </w:tc>
        <w:tc>
          <w:tcPr>
            <w:tcW w:w="44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240" w:type="dxa"/>
            <w:vAlign w:val="bottom"/>
            <w:tcBorders>
              <w:bottom w:val="single" w:sz="8" w:color="CCEEFF"/>
            </w:tcBorders>
          </w:tcPr>
          <w:p>
            <w:pPr>
              <w:spacing w:after="0"/>
              <w:rPr>
                <w:sz w:val="20"/>
                <w:szCs w:val="20"/>
                <w:color w:val="auto"/>
              </w:rPr>
            </w:pPr>
          </w:p>
        </w:tc>
        <w:tc>
          <w:tcPr>
            <w:tcW w:w="4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Liability-Classified Awards - Expensed</w:t>
            </w: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Liability-Classified Awards - Capitalized</w:t>
            </w:r>
          </w:p>
        </w:tc>
        <w:tc>
          <w:tcPr>
            <w:tcW w:w="46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35,340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37"/>
        </w:trPr>
        <w:tc>
          <w:tcPr>
            <w:tcW w:w="42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46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COMMITMENTS AND CONTINGENCIES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 as of March 31, 2025, the Company completed a fair value measurement for the cash settlement provision of its agreements with Artemis and EVEMeta, the liability classified award, using a Monte Carlo simulation model and determined a total fair value measurement of $1,441,700. The Company recognized a stock-based compensation liability to the extent in which services were provided to the Company, which was an estimate by the Company as of period end. This resulted in the recognition of a stock-based compensation liability of $44,392, of which $35,340 was capitalized to capitalized implementation costs and $9,052 was expensed as a software expense. These amounts did not have an impact on the balance for the Company’s stockholders’ equity. Please refer to Note 2 and 5 for further detail about the technology purchase agreements.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March 31, 2025, there was $1,397,308 of total unrecognized compensation cost related to the Company’s liability-classified awards. This cost is expected to be recognized over a weighted-average period of 6.48 years.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2025, the Company executed an amendment to the MSA with Artemis. The amendment eliminated the guarantee of the sale price delta making the Company no longer subject to guaranteeing a minimum return of $4 on the sale of each share received in compensation for the MSA. The amendment triggered a cash payment of $225,000 by the Company to Artemis. Further, the Company agreed to remove the lock-up provision and gradual release obligations relating only to the stock consideration included in exhibit A of the agreement, which releases 234,375 shares of Common Stock as of the amendment date.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same day, the Company executed an amendment to the SaaS Agreement with EVEMeta. The amendment eliminated the guarantee of the sale price delta making the Company no longer subject to guaranteeing a minimum return of $4 on the sale of each share received in compensation for the SaaS Agreement. The amendment triggered a cash payment of $25,000 by the Company to EVEMeta. No shares were released from lock-up provisions for EVEMeta.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STOCKHOLDERS’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Structure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3, 2021, BHHI was incorporated and the Company authorized 50,000,000 shares of Common Stock with a par value of $0.0001 per share and 5,000,000 shares of preferred stock with a par value of $0.0001 per share. On February 22, 2022, the certificate of incorporation was amended and the Company authorized 250,000,000 shares of Common Stock with a par value of $0.0001 per share and 25,000,000 shares of preferred stock with a par value of $0.0001 per share. Further, the Company designated 200,000 shares of preferred stock as Series A preferred stock with a par value of $0.0001 per share. Shares of convertible Series A preferred stock and Common Stock (the “Junior Securities”) are entitled to one vote for each share. In order of liquidation rights, distributions will be made to the Series A preferred holders then to the holders of the other remaining Junior Securities, which are currently Common Stock. The Series A preferred stock has a liquidation preference of $0.50 per share in the event of a liquidation and distribution. Further, each share of Convertible Series A preferred stock shall automatically convert into one share of Common Stock upon consummation of an underwritten public offering of Common Stock. The Company completed an initial public offering during March of 2025. Please refer to Note 1 and the following section for the details of the IPO. There were no shares of Series A preferred stock issued and outstanding during any period since inception and 0 shares and 82,096 shares of preferred stock issued and outstanding as of March 31, 2025 and December 31, 2024, respectively. Further, a total of 10,723,908 and 7,033,330 shares of Common Stock were issued and outstanding as of March 31, 2025 and December 31, 2024, respectively (as adjusted for the Reverse Stock Split).</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October of 2024, the Company authorized and filed an amendment to the Articles of Incorporation to authorize a 1 for 2.43615 Reverse Stock Split for all Common and Preferred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Initial Public Offering</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February 14, 2025, the Company received its notice of effectiveness from the SEC and became a public company. On March 5, 2025, the Company entered into a material definitive agreement in the form of an underwriting agreement with Kingswood as representative of the underwriters named therein, for the offer and sale of 1,475,000 shares of the Company’s Common Stock at a public offering price of $4.00 per share for gross proceeds, before deducting underwriting discounts and other related expenses, of $5.9 million. Underwriting discounts and other related expenses totaled $1.1 million and were recorded as offering costs during the three months ended March 31, 2025, for total net proceeds of $4.8 million. Payment of those offering costs was made directly from the proceeds of the offering.</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6, 2025, the Company’s shares began trading on Nasdaq under the symbol “TBH” and on March 7, 2025, the Company filed its prospectus with the SEC and completed its IPO.</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10, 2025, Kingswood, as representative of the underwriters, exercised in full its option to purchase an additional 221,250 shares of the Company’s common stock to cover over-allotments at a public offering price of $4.00 per share for gross proceeds from the over-allotment exercise of $885,000. Underwriting discounts and other related expenses totaled $95,800, and are recorded as offering costs during the three months ended March 31, 2025 for total net proceeds of $789,200. Payment of those offering costs was made directly from the proceeds of the offering. Please refer to Note 1 for further detail.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Offering costs represent legal, accounting and other direct costs related to the IPO, which closed on March 7, 2025. Prior to the close of the IPO, these costs were recognized as deferred offering costs. These direct offering costs were reclassified to additional paid-in capital from deferred offering costs. As of March 31, 2025, a total of $1,351,098 was reclassified from deferred offering costs to offering costs. Further, during the three months ended March 31, 2025, additional offering costs of $1,252,780 were incurred simultaneously with the closing of the IPO, which includes the underwriter discounts and other related expenses previously described. An accrual of $115,000 for the IPO costs related to the underwriter discounts and other related expenses was previously recorded as a deferred offering cost as of December 31, 2024 and included in the balance that was netted against total IPO proceeds as of March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Underwriter Warrants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underwriting agreement, the Company issued to the underwriters on the closing date of the IPO (the “Closing Date”), warrants (the “Underwriter Warrants”) to purchase an aggregate of 44,250 shares of the Company’s common stock, representing 3% of the shares issued on the Closing Date. The Underwriter Warrants will be exercisable, in whole or in part, commencing on September 3, 2025, and expiring on September 9, 2029, at an initial exercise price per share of common stock of $4.00, which is equal to 100% of the Offering price. No warrants have been exercised as of March 31, 2025.</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The underwriter warrants are classified as equity instruments in accordance with ASC 815-40, “</w:t>
      </w:r>
      <w:r>
        <w:rPr>
          <w:rFonts w:ascii="Times New Roman" w:cs="Times New Roman" w:eastAsia="Times New Roman" w:hAnsi="Times New Roman"/>
          <w:sz w:val="18"/>
          <w:szCs w:val="18"/>
          <w:i w:val="1"/>
          <w:iCs w:val="1"/>
          <w:color w:val="auto"/>
        </w:rPr>
        <w:t>Derivatives and Hedging – Contracts in Entity’s 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The warrants are considered indexed to the Company’s own stock and meet the equity classification criteria under GAAP.</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the underwriter warrants was estimated using the Black-Scholes option pricing model, a Level 3 measurement, with the following assumptions:</w:t>
      </w:r>
    </w:p>
    <w:p>
      <w:pPr>
        <w:spacing w:after="0" w:line="162"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Market Value:</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$4.30</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4.00%</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term:</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8"/>
              </w:rPr>
              <w:t>4.5 years</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Expected volatility:</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87.00%</w:t>
            </w:r>
          </w:p>
        </w:tc>
      </w:tr>
      <w:tr>
        <w:trPr>
          <w:trHeight w:val="4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 yield:</w:t>
            </w:r>
          </w:p>
        </w:tc>
        <w:tc>
          <w:tcPr>
            <w:tcW w:w="11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Underwriter Warrants on the grant date was approximately $2.96 per share for a total value of $130,980 which was accounted for as a cost of issuing equity, in offering costs. Accordingly, it has been recorded as a reduction to the additional paid-in capital in the statement of stockholders’ equity (deficit), in accordance with SEC Staff Accounting Bulletin Topic 5.A.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liability classified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Award Plan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11, 2024, the Company’s Board of Directors adopted the 2024 Omnibus Incentive Plan (“Stock Incentive Plan”), which was approved by its stockholders on June 13, 2024. On December 31, 2024 the Company’s Board of Directors adopted the Stock Incentive Plan, which was approved by the Company’s stockholders on January 30, 2025. The Stock Incentive Plan became effective on February 13, 2025. The Stock Incentive Plan will provide for the grant of incentive stock options, within the meaning of Section 422 of the Internal Revenue Code (“Code”) to the Company’s employees, and for the grant of stock options (including incentive stock options (“ISOs”) and non-qualified stock options (“NSOs”)), SARs, restricted stock, restricted stock units (“RSUs”), and other stock-based and cash-based incentive awards, and other stock-based performance awards to the Company’s employees, directors, and consultants (collectively, “Awards”).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total of 2,250,000 shares of common stock will be reserved for issuance pursuant to the Stock Incentive Plan (“Plan Share Reserve”). The Plan Share Reserve shall be increased on the first day of each fiscal year beginning with the 2025 fiscal year, in an amount equal to the lesser of (i) ten percent (10.0%) of the outstanding shares of common stock on the last day of the immediately preceding fiscal year and (ii) an amount determined by the Board of Directors.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Shares with respect to which options or SARs are not exercised prior to termination of the option or SAR, shares that are subject to restricted stock units which expire without converting to Common Stock, and shares of restricted stock which are forfeited before the restrictions lapse, shall be available for grants of new Awards under the Stock Incentive Plan. Notwithstanding the foregoing, neither (i) shares accepted by the Company in payment of the exercise price of any option, if permitted under the terms of such option, nor (ii) any shares withheld from a participant, or delivered to the Company in satisfaction of required withholding taxes arising from Awards, nor (iii) the difference between the total number of shares with respect to SAR, shall be available for reissuance under the Stock Incentive Plan.</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Awards granted under the Stock Incentive Plan upon the assumption of, or in substitution for, awards authorized or outstanding under a qualifying equity plan maintained by an entity directly or indirectly acquired by the Company will not reduce the shares available for grant under the Stock Incentive Plan. However, any such shares issued in connection with the assumption of, or in substitution for, outstanding options intended to qualify as incentive stock options shall be counted against the aggregate number of shares of Common Stock available for Awards of incentive stock options under the Plan. Subject to applicable stock exchange requirements, available shares under a stockholder-approved plan of an entity directly or indirectly acquired by the Company may be used for Awards under the Stock Incentive Plan and shall not reduce the number of shares of Common Stock available for issuance under the Stock Incentive Plan.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Company’s Board of Directors will administer the Stock Incentive Plan (the “Administrator”). Each Award will be set forth in a separate agreement and will indicate the type and terms and conditions of the Award.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no awards have been granted and, thus, no compensation has been incurred in connection with the Stock Incentive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for grants of awards will be determined in accordance with the Company’s stock-based compensation policy.</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June of 2025, the Company issued stock options to Executives, an employee and a contractor of the Company with options reserved in the Stock Incentive Plan to purchase a total of 1,052,888 shares of Common Stock. Please refer to Note 10 for subsequent events.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of 2024, the Company sold 29,094 shares (as adjusted for the Reverse Stock Split) of BHHI common stock for total proceeds of $100,000. These were issued during May of 2024 and, therefore, included as a share payable as of March 31, 2024.</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13, 2024, the Company entered into a MSA with Artemis to develop software for the Company and provide certain services. In exchange, the Company agreed to issue 937,500 shares of its Common Stock to Artemis. The Artemis Stock Consideration was issued to Artemis on December 26, 2024. In connection with the execution of the MSA, on November 13, 2024, the Company entered into a SaaS Agreement with EVEMeta to license its solution to the Company. In exchange, the Company agreed to issue 312,500 shares of its Common Stock to EVEMeta. The EVEMeta Stock Consideration was issued to EVEMeta on December 26, 2024. The 1,250,000 shares granted to Artemis and EVEMeta in exchange for services had a fair market value of $4.00 per share at the date of grant for a total fair value of $5,000,000. As of March 31, 2025, none of the shares have been released from the lock-up provisions. The Company has recognized the par value of the shares, equaling $125, as an increase to common stock and other assets as of December 31, 2024. On March 7, 2025, the services per the SaaS Agreement and MSA began and the remaining unrecognized fair value of $4,999,875 of the shares issued as consideration will be recognized as services are provided.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STOCKHOLDERS’ EQUITY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2025, $125,000 was recognized as capitalized implementation costs, in connection with the software development services in the MSA with Artemis, as the value for the services that were completed as of period end. Amortization of the capitalized implementation costs to software expense has not commenced as of March 31, 2025. A total of $39,772 was also recognized as software expense, in connection with the services and maintenance services in the MSA with Artemis and the SaaS with EVEMeta, as the value for the services that were completed as of period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refer to Note 2 and Note 4 for further detail on these technology purchase agreements.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of 2024, the Company sold 6,250 shares of common stock (as adjusted for the Reverse Stock Split) for total cash proceeds of $25,000. The shares of common stock are to be issued immediately after the consummation of the IPO, in accordance with the subscription agreement. These shares were issued in April of 2025 and, therefore, included in the shares payable balance as of March 31, 2025. Please refer to Note 10 for further details.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Company’s Board of Directors issued their unanimous consent to issue shares in connection with several transactions and the Company issued those shares. The Company authorized and issued 56 shares of common stock owed following the effecting of the Reverse Stock Split by the Company’s transfer agent in January of 2025. The issuance of these shares did not have an impact on the balance in equity.</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March of 2025, the Company authorized and issued 82,096 shares of common stock due to the conversion of each share of preferred stock to one share of Common Stock as a result of the IPO.</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Agreements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BHI, and therefore the Company, entered into Restricted Stock Purchase Agreements (“RSPA”) with various employees and advisors. The share exchanges that occurred during 2021 and 2022 have an effect on the number of restricted shares that are vested and unvested as of the end of each respective reporting period.</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2020, BHI also entered into various RSPAs with an employee and two advisers, pursuant to which BHI sold 225,000 shares of restricted common stock in BHI at par value of $0.0001 per share for cash proceeds of $22. The restricted stock vests at varying rates. As of March 31, 2025, the Company has yet to receive proceeds for the restricted common stock issuances, and the $22 is recorded as contra equity on the March 31, 2025 and December 31, 2024 condensed consolidated balance sheets. As of March 31, 2025 and 2024, 61,880 and 55,005 shares of common stock (as adjusted for the Reverse Stock Split) were considered vested, respectively, and the Company recognized stock-based compensation expense of $0 and $3,515 for the restricted shares that vested during the three months ended March 31, 2025 and 2024, respectively. All shares were fully vested as of December 31, 2024, and no unamortized stock compensation remained.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10, 2022, the Company issued a restricted stock award to its outside legal counsel for 279,129 shares of common stock (as adjusted for the Reverse Stock Split). The restricted stock vests 25% immediately and 25% over the next three years at each anniversary. As of March 31, 2025 and 2024, 226,793 and 157,010 shares of common stock were considered vested, and the Company recognized stock-based compensation expense of $42,500 and $42,501 for the restricted shares that vested during each three-month period ended March 31, 2025 and 2024 (as adjusted for the Reverse Stock Split), respectively. As of March 31, 2025, unamortized stock compensation of $127,500 remained.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an analysis of BHI and BHHI shares of Common Stock issued as compensation subsequent to the US Reorganization (21:1 exchange 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presented entirely as BHHI Common Stock (as adjusted for the Reverse Stock Split):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416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Nonvested</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Average Fair</w:t>
            </w:r>
          </w:p>
        </w:tc>
      </w:tr>
      <w:tr>
        <w:trPr>
          <w:trHeight w:val="245"/>
        </w:trPr>
        <w:tc>
          <w:tcPr>
            <w:tcW w:w="416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December 31, 2024</w:t>
            </w:r>
          </w:p>
        </w:tc>
        <w:tc>
          <w:tcPr>
            <w:tcW w:w="4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69,782</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45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5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(17,446)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5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shares, March 31, 2025</w:t>
            </w:r>
          </w:p>
        </w:tc>
        <w:tc>
          <w:tcPr>
            <w:tcW w:w="58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655"/>
        </w:trPr>
        <w:tc>
          <w:tcPr>
            <w:tcW w:w="416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23</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issued convertible debt during 2022 through May of 2024 under its initial round of convertible debt. The balance of convertible debt as of December 31, 2024 was $5,722,511 in outstanding principal and no remaining unamortized debt issuance costs and debt discount. As of December 31, 2024, accrued interest for the notes totaled $888,894.</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2024, the Company issued convertible debt in the form of original issue discount convertible promissory notes. These notes provide investors with a 20% discount on their investment amount. To determine the principal amount of the notes, the investment amount is divided by 0.80, reflecting that 20% original issue discount. Concurrent with the issue and sale of the notes, each holder was entitled to receive a number of shares of the Company’s Common Stock, par value $0.0001 per share equal to: (i) in the case of a holder that is a Lead Investor, the quotient resulting when 20% of the Holder’s purchase price is divided by a price per share equal to the Valuation Cap divided by the Company Capitalization, (ii) In the case of all other holders, the quotient resulting when 5% of the Holder’s purchase price is divided by a price per share equal to the Valuation Cap divided by the Company Capitalization. The purchase price means the product of the principal amount of the note multiplied by 0.80. The Valuation Cap is set at $20,000,000 and the Company Capitalization means the sum of all equity securities (on an as-converted basis) issued and outstanding, assuming exercise or conversion of all outstanding vested and unvested options, warrants and other convertible securities, but excluding the notes and all equity securities reserved and available for future grant under any equity incentive or similar plan of the Company.</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March 31, 2024, the Company extended the maturity date of the debt and incurred an additional $689,364 in principal due to extension fees. The Company also raised a total of $75,504 in additional operating capital through the issuance of additional original issue discount convertible promissory notes, all of which carry the same terms as all other issued convertible debt. The issuance of these notes resulted in an additional debt discount totaling $18,876 for a total principal amount of $94,380. In addition, note holders were entitled to 1,098 shares of common stock (as adjusted for the Reverse Stock Split) and with a share fair market value of $2.42 for a total additional debt discount and share payable of $2,660. The Company recorded $5,056 in amortization of debt discount to interest expense on the condensed consolidated statements of operations and comprehensive loss for the three months ended March 31, 2024 and the unamortized balance of $16,480 was amortized to interest expense through the maturity date of the notes, which was May 30, 2024. The Company also incurred an additional $107,733 in accrued interest during the three months ended March 31, 2024.</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completion of the IPO on March 7, 2025, which was deemed a qualifying financing event, the Company converted the total balance due to all holders of the original issue discount convertible promissory notes. The actual date of conversion of the notes was completed on March 6, 2025. The total amount that was converted was $6,611,405, which was the total principal of $5,722,511 and accrued interest of $888,894 as of December 31, 2024. These were converted into a total of 1,912,176 shares of the Company’s common stock. An additional accrual of interest through the date of the IPO, March 7, 2025, was recorded as of March 7, 2025 for $103,101 and this balance is included as a share payable since it was convertible to shares of common stock totaling 29,660 as of the date of IPO. In April of 2025, 29,305 of these shares were issued. The remaining 355 shares are pending to be issued and the balance of the accrued interest for the shares that were not yet issued, $1,234, is recorded as a share payable balance until issued. Please refer to Note 10 for further details.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of 2024, the Company received a loan in the amount of $12,198 in United States Dollar which will be payable in the foreign currency of Great Britain Pounds. This loan had no maturity date or interest rate assigned to the loan. It was also unsecured and there were no assets pledged on the loan. This loan was revalued at December 31, 2024 and had a principal balance of $12,900 in United States Dollar. During the three months ended March 31, 2025, a gain on foreign currency exchange was recognized for $424 on the revaluation of the loan. This loan was repaid in March of 2025 as part of a confidential release and final agreement, detailed below.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August and September of 2024, the Company raised $280,000 in short-term loans that are expected to be repaid within a year, although a maturity date is not specified. These loans have a 100% interest fee that is due at the date of repayment and an additional 100% fee in shares of the Company’s Common Stock issued at the current fair market value, which was $1.41 at the dates of the loans. In September of 2024, the Company issued 198,454 shares of Common Stock in full payment of the $280,000 amount that was payable in shares of the Company. In the same period, the Company repaid $25,000 of the short-term loans along with the corresponding $25,000 interest fee. These loans resulted in a total interest expense of $560,000 that was recognized during the year ended December 31, 2024. A total principal balance of $255,000 and accrued interest of $255,000 remained outstanding as of December 31, 2024. The Company repaid $175,000 of the principal amount along with $175,000 of the accrued interest amount as part of a confidential release and final agreement, detailed below. The remaining $80,000 in principal and $80,000 in interest, outstanding as of March 31, 2025, was repaid in April of 2025, as detailed below, in connection with a loan repayment agreement that was entered into with a shareholder of the Company on April 2, 2025. Please refer to Note 10 for subsequent events.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of 2024, the Company raised $30,000 from a short-term loan which carried a 100% interest fee. In addition, the Company requested from the underwriter that they unlock 24,500 shares of common stock currently owned by the lender to be available as freely floating, publicly tradable shares. A total principal balance of $30,000 and accrued interest of $30,000 remained outstanding as of December 31, 2024 and March 31, 2025. This loan was repaid in April of 2025. Please refer to Note 10 for subsequent events.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entered into a loan agreement with one of its shareholders on February 5, 2025 for an amount totaling $9,314 and agreed to pay an interest fee of 200% of the principal loan and an additional 100% in common stock once the Company became a public company. In addition, this shareholder made an additional loan of $6,186 to the Company on February 10, 2025. The additional loan was not subject to a loan agreement and did not carry any written terms. The Company became a public company on March 6, 2025. On April 2, 2025, the shareholder and the Company agreed on repayment terms for those two loans and a pre-existing loan from August of 2024 (see above) that was owed to this shareholder together with all accrued interest. The total repayment was $206,617 and it included $95,500 in principal and $111,117 in interest. The total principal amount includes the $15,500 loans from February 2025 and the remaining $80,000 in principal and $80,000 in interest from a loan which was made to the Company during August of 2024. The final payment was made in April of 2025. Please refer to Note 10 for subsequent events.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Confidential Release and Final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January through March of 2025, the Company borrowed money from shareholders of the Company to pay for expenses in connection with the IPO. Total proceeds of $86,150 were received by the Company and these borrowed funds did not have a loan agreement or loan terms. These shareholders also had notes payable made to the Company during 2024, which are part of the notes payable disclosed in Note 6 totaling $187,900 in principal as of December 31,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of 2025, the Company entered into a confidential release and final agreement to settle all loan amounts and interest payable to these shareholders with a total payment of $650,000. The agreement also supersedes all prior loan agreements and settles any future claims for any reason and no longer requires the payment of any shares of equity. The total loans that were paid had a principal amount of $273,626 and accrued interest of $175,000. The Company recognized an additional $201,374 in interest expense. Payment of the settlement amount was made on March 31, 2025.</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DEBT </w:t>
      </w:r>
      <w:r>
        <w:rPr>
          <w:rFonts w:ascii="Times New Roman" w:cs="Times New Roman" w:eastAsia="Times New Roman" w:hAnsi="Times New Roman"/>
          <w:sz w:val="18"/>
          <w:szCs w:val="18"/>
          <w:color w:val="auto"/>
        </w:rPr>
        <w:t>(cont.)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 December 2024</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of 2024, the Company raised $25,000 from a short-term convertible promissory note which is unrelated to the previously issued convertible debt through May of 2024 and carries different terms. This note has a 30% original issue discount that constitutes the interest due on the loan and was added to the principal balance, a payment in equity kicker shares of the Company’s common stock having a combined value equaling 30% of the principal amount and a maturity date of February 15, 2025. The number of the shares subject to the equity kicker were calculated based on the Company’s anticipated price per share at the IPO, which was at $4. The original issue discount and the equity kicker shares had values of $7,500 each for a total discount on debt of $15,000. During 2024, the Company recognized $4,219 in amortization of debt discount on the condensed consolidated statements of operations and comprehensive loss. The issuance of this loan resulted in an additional 1,875 shares of common stock becoming due and were not issued as of December 31, 2024. As such, it resulted in an increase of $7,500 to the shares payable balance during the year ended December 31, 2024. A total principal balance of $32,500 and unamortized debt discount of $10,781 was outstanding as of December 31, 2024. The Company amortized the remaining debt discount amount of $10,781 to interest expense during the three months ended March 31, 2025.</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 repayment options included the proceeds of the Company’s IPO, which occurred on March 6, 2025 and was the earliest of all other options. The lender had the option to convert the debt into shares of the Company’s common stock but, instead, the repayment of the loan principal of $25,000 and accrued interest of $7,500 was completed in March of 2025. The 1,875 shares were issued in April of 2025, subsequent to the maturity date of February 15, 2025, and were included in the shares payable balance as of March 31, 2025. Please refer to Note 10 for subsequent events.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of 2025, the Company raised an additional $150,000 from two short-term promissory notes which have a 30% original issue discount that constitutes the interest due on the loan and was added to the principal balance, a payment in equity kicker shares of the Company’s common stock having a combined value equaling 30% of the principal amount and a maturity date of April 10, 2025. The number of the shares subject to the equity kicker were calculated based on the Company’s anticipated price per share at the IPO, which was at $4. The original issue discount and the equity kicker shares had values of $45,000 each for a total discount on debt of $90,000. The issuance of this loan resulted in an additional 11,250 shares of common stock becoming due. As such, it resulted in an increase of $45,000 to the shares payable balance during 2025. The Company repaid the total loan principal of $150,000 and accrued interest of $45,000 in March of 2025. The shares in connection with the share payable amount of $45,000 were issued in April of 2025 and were included in the shares payable balance as of March 31, 2025. The Company amortized the $90,000 debt discount amount to interest expense during the three months ended March 31, 2025. Please refer to Note 10 for subsequent events.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 RECOGNITION</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Company recognizes revenue from the sale of products and services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this guidance, the Company contemplates and accounts for the five different steps that are necessary to analyze and account for revenue. Those are the following:</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1: Identify the contract(s) with customers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2: Identify the performance obligations in the contract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3: Determine the transaction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4: Allocate the transaction price to performance obligations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Step 5: Recognize revenue when or as performance obligations are satisfied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generates revenues from advertising, sponsorship and league tournaments, and through the operation of its live streaming platform using a revenue model whereby gamers and creators can get free access to certain live streaming of amateur tournaments, and gamers and creators pay fees or subscriptions to compete in league competitions. The Company enters into contracts which may include combinations of products, support and professional services, which may be accounted for as separate performance obligations with differing revenue recognition patterns.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March 31, 2025 and December 31, 2024, the Company did not have any contract assets or liabilities arising from contracts with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due to the fact that all service agreements for tournaments were entered into and completed in the same period.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earns the majority of its revenue from hosting esports tournaments. The main performance obligation has been organizing and executing these tournaments. There are many different deliverables that are noted or implied in these contracts with customers including but not limited to, planning the event, identifying vendors and locations, completing administrative tasks, managing the event staff, coordinating the tournaments, and executing sponsorship advertisement. Contracts vary in length and extent of deliverables. Some tournaments are single events, while others require the Company to have qualifiers leading up to a championship event. In the case of contracts for longer tournament deliverables, the Company has identified each qualifier and each championship event as performance obligations. For single event contracts, the performance obligation is the execution of the event. These performance obligations are met once the tournaments are hosted and completed.</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In the case of revenue earned from the Twitch Affiliate Program, the Company’s performance obligations is to create content and maintain a channel to which (i) customers can subscribe, (ii) ads can be played to viewers by Twitch to generate revenue and (iii) customers can use bits. These performance obligations are monitored by Twitch and the Company receives the revenue from those obligations. On a monthly basis, the Company receives from Twitch its respective portion of the revenue generated by its content. This source of revenue is insignificant and not a main source of income for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Judgments and Estimates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include commitments to transfer tournament hosting and a gaming community platform service that customers can subscribe to. Judgment is required to allocate the transaction price to each performance obligation. The Company has carefully evaluated the timing of when the completion of performance obligations occurs for tournament hosting revenue and has determined that it occurs at the point in time in which the event has been completed. For single event tournaments, the Company determines the transaction price to be the contracted amount and allocates that price to the single performance obligation. In the case of tournaments with multiple events and performance obligations, the Company evaluates the magnitude of the performance obligations to make an estimate of the allocation of the transaction price (total contract amount) to the multiple performance obligations. It is the Company’s judgment that the transaction price for multiple event tournaments is allocated evenly throughout each of the total qualifier and championship match events. The reasoning is because at each event, there is no distinguishable difference in the amount of advertising and/or other obligations that are performed and thus, service that is provided for the customer.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REVENUE RECOGNITION </w:t>
      </w:r>
      <w:r>
        <w:rPr>
          <w:rFonts w:ascii="Times New Roman" w:cs="Times New Roman" w:eastAsia="Times New Roman" w:hAnsi="Times New Roman"/>
          <w:sz w:val="18"/>
          <w:szCs w:val="18"/>
          <w:color w:val="auto"/>
        </w:rPr>
        <w:t>(cont.)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case of subscription revenue, which is recognized over time, the Company has determined that the revenue is earned ratably over the period of the subscription. Revenue is recognized evenly over the subscription period because there is no discernable difference in the amount of service that is provided in each of the days within the subscription period.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or Fulfill a Contract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new revenue recognition standard requires the capitalization of certain incremental costs of obtaining a contract. These typically are represented by commission expenses. Prior to the Company’s adoption of the new revenue standard, commission expenses would be recognized in the period incurred. Under the new revenue recognition standard, the Company is required to recognize these expenses over the period of benefit associated with these costs. This results in a deferral of certain commission expenses each period. There were no deferred commissions related to contracts that were or were not completed prior to March 31, 2025 and December 31, 2024. The Company recognizes an asset for the incremental costs of obtaining a contract with a customer if the benefit of those costs is expected to be longer than one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REPORTING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manage its business activities on a consolidated basis and operate as a single operating segment (the “gaming” segment). The Company is a vertically integrated social network for college gaming and its mission is to create a community which empowers gamers, streamers, and fans to interact with one another. The Company’s platform, which focuses on building a centralized gaming experience for non-professional college gamers and their fans, achieves this by allowing college students to compete against one another, support their favorite gamers and teams, and win prizes. The accounting policies of the gaming segment are the same as those described in Note 2 – Summary of Significant Accounting Policies of our Annual Report on Form 10-K for the year ended December 31, 2024.</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CODM is our Chief Executive Officer, Lavell Juan Malloy, II. The CODM uses net loss, as reported on our condensed consolidated statements of operations and comprehensive loss, in evaluating performance of the gaming segment and determining how to allocate resources of the Company as a whole. The CODM does not review assets in evaluating the results of the gaming segment, and therefore, such information is not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operating financial results of our gaming segment:</w:t>
      </w:r>
    </w:p>
    <w:p>
      <w:pPr>
        <w:spacing w:after="0" w:line="22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980" w:type="dxa"/>
            <w:vAlign w:val="bottom"/>
            <w:tcBorders>
              <w:bottom w:val="single" w:sz="8" w:color="CCEEFF"/>
            </w:tcBorders>
          </w:tcPr>
          <w:p>
            <w:pPr>
              <w:spacing w:after="0"/>
              <w:rPr>
                <w:sz w:val="21"/>
                <w:szCs w:val="21"/>
                <w:color w:val="auto"/>
              </w:rPr>
            </w:pPr>
          </w:p>
        </w:tc>
        <w:tc>
          <w:tcPr>
            <w:tcW w:w="37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Less: Significant and Other Segment Expenses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464</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81,450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Legal and Professional</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138,324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52,458</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321,810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122,561</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Software Development</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10,887</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 - Restricted Stock Agreements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42,500</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46,016</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Rent Expense</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and Amortization of Debt Discount</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438,709</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802,153</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(1,601)</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Expenses</w:t>
            </w:r>
          </w:p>
        </w:tc>
        <w:tc>
          <w:tcPr>
            <w:tcW w:w="3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46,406</w:t>
            </w:r>
          </w:p>
        </w:tc>
        <w:tc>
          <w:tcPr>
            <w:tcW w:w="220" w:type="dxa"/>
            <w:vAlign w:val="bottom"/>
          </w:tcPr>
          <w:p>
            <w:pPr>
              <w:spacing w:after="0"/>
              <w:rPr>
                <w:sz w:val="18"/>
                <w:szCs w:val="18"/>
                <w:color w:val="auto"/>
              </w:rPr>
            </w:pPr>
          </w:p>
        </w:tc>
        <w:tc>
          <w:tcPr>
            <w:tcW w:w="10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Loss</w:t>
            </w:r>
          </w:p>
        </w:tc>
        <w:tc>
          <w:tcPr>
            <w:tcW w:w="37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w:t>
            </w:r>
          </w:p>
        </w:tc>
      </w:tr>
      <w:tr>
        <w:trPr>
          <w:trHeight w:val="210"/>
        </w:trPr>
        <w:tc>
          <w:tcPr>
            <w:tcW w:w="49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Segment Net Loss</w:t>
            </w:r>
          </w:p>
        </w:tc>
        <w:tc>
          <w:tcPr>
            <w:tcW w:w="370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(1,067,673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(1,034,161</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655"/>
        </w:trPr>
        <w:tc>
          <w:tcPr>
            <w:tcW w:w="49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jc w:val="right"/>
              <w:ind w:right="2870"/>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MEASUREMENTS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820, “Fair Value Measurements and Disclosures”, the Company uses various inputs to measure the fair value of its stock-based compensation liability resulting from the cash-settled written put options related to the MSA with Artemis and the SaaS with EVEMeta on a recurring basis to determine the fair value of these liabilities. The Company determines the fair value of the stock-based compensation liability using a Monte Carlo simulation.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as of March 31, 2025, the Company completed a fair value measurement for the cash settlement provision of its agreements with Artemis and EVEMeta, the liability classified award, using a Monte Carlo simulation model and determined a total fair value measurement of $1,441,700. The Company recognized a stock-based compensation liability to the extent in which services were provided to the Company, which was an estimate by the Company as of period end. This resulted in the recognition of a stock- based compensation liability of $44,392, of which $35,340 was capitalized to capitalized implementation costs and $9,052 was expensed as a software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classifies the Company’s liabilities measured at fair value on a recurring basis into the fair value hierarchy as of March 31,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3"/>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6"/>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11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changes in Level 3 liabilities measured at fair value for the three months ended March 31, 2025. Both observable and unobservable inputs were used to determine the fair value of positions that the Company has classified within the Level 3 category.</w:t>
      </w:r>
    </w:p>
    <w:p>
      <w:pPr>
        <w:spacing w:after="0" w:line="158"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Stock-Based</w:t>
      </w:r>
    </w:p>
    <w:p>
      <w:pPr>
        <w:spacing w:after="0" w:line="31"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Compensation</w:t>
      </w:r>
    </w:p>
    <w:p>
      <w:pPr>
        <w:spacing w:after="0" w:line="9" w:lineRule="exact"/>
        <w:rPr>
          <w:sz w:val="20"/>
          <w:szCs w:val="20"/>
          <w:color w:val="auto"/>
        </w:rPr>
      </w:pPr>
    </w:p>
    <w:p>
      <w:pPr>
        <w:jc w:val="center"/>
        <w:ind w:left="9900"/>
        <w:spacing w:after="0"/>
        <w:rPr>
          <w:sz w:val="20"/>
          <w:szCs w:val="20"/>
          <w:color w:val="auto"/>
        </w:rPr>
      </w:pPr>
      <w:r>
        <w:rPr>
          <w:rFonts w:ascii="Times New Roman" w:cs="Times New Roman" w:eastAsia="Times New Roman" w:hAnsi="Times New Roman"/>
          <w:sz w:val="18"/>
          <w:szCs w:val="18"/>
          <w:b w:val="1"/>
          <w:bCs w:val="1"/>
          <w:color w:val="auto"/>
        </w:rPr>
        <w:t>Liability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Capitalized Implementation Costs</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35,340</w:t>
            </w:r>
          </w:p>
        </w:tc>
      </w:tr>
      <w:tr>
        <w:trPr>
          <w:trHeight w:val="250"/>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 in fair value - Software Expense</w:t>
            </w: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9,052</w:t>
            </w:r>
          </w:p>
        </w:tc>
      </w:tr>
      <w:tr>
        <w:trPr>
          <w:trHeight w:val="210"/>
        </w:trPr>
        <w:tc>
          <w:tcPr>
            <w:tcW w:w="986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44,392</w:t>
            </w:r>
          </w:p>
        </w:tc>
        <w:tc>
          <w:tcPr>
            <w:tcW w:w="100" w:type="dxa"/>
            <w:vAlign w:val="bottom"/>
            <w:tcBorders>
              <w:top w:val="single" w:sz="8" w:color="CCEEFF"/>
            </w:tcBorders>
          </w:tcPr>
          <w:p>
            <w:pPr>
              <w:spacing w:after="0"/>
              <w:rPr>
                <w:sz w:val="18"/>
                <w:szCs w:val="18"/>
                <w:color w:val="auto"/>
              </w:rPr>
            </w:pPr>
          </w:p>
        </w:tc>
      </w:tr>
      <w:tr>
        <w:trPr>
          <w:trHeight w:val="432"/>
        </w:trPr>
        <w:tc>
          <w:tcPr>
            <w:tcW w:w="9860" w:type="dxa"/>
            <w:vAlign w:val="bottom"/>
          </w:tcPr>
          <w:p>
            <w:pPr>
              <w:spacing w:after="0"/>
              <w:rPr>
                <w:sz w:val="20"/>
                <w:szCs w:val="20"/>
                <w:color w:val="auto"/>
              </w:rPr>
            </w:pPr>
            <w:r>
              <w:rPr>
                <w:rFonts w:ascii="Times New Roman" w:cs="Times New Roman" w:eastAsia="Times New Roman" w:hAnsi="Times New Roman"/>
                <w:sz w:val="18"/>
                <w:szCs w:val="18"/>
                <w:color w:val="auto"/>
              </w:rPr>
              <w:t>The key inputs for the Monte Carlo simulation for the stock-based compensation liability as of March 31, 2025 were as follows:</w:t>
            </w: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9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Stock-based compensation liability key valuation inputs*</w:t>
            </w:r>
          </w:p>
        </w:tc>
        <w:tc>
          <w:tcPr>
            <w:tcW w:w="1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Valuation Date Stock Price</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Volatility</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Risk-Free Rate</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9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Risk Adjusted Rate</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9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Time period (years)</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The valuation was based on a Monte Carlo simulation analysis of 100,000 iterations.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SUBSEQUENT EVENTS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has evaluated events and transactions subsequent to March 31, 2025 through the date these condensed consolidated financial statements were included on Form 10-Q and filed with the SEC. Other than the matters described below, there are no additional subsequent events identified that would require disclosure in the condensed consolidated financial statements.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of 2025, the Company issued 29,305 shares of Common Stock in connection with the total 29,660 of shares due for the accrued interest on the original issue discount convertible promissory notes totaling $103,101 as of March 31, 2025. The remaining 355 shares are pending to be issued and the balance of the accrued interest for the shares that were not yet issued, $1,234, is and will be recorded as a share payable in each respective period until issued.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of 2025, the Company repaid a bridge loan which was received in November of 2024 with a principal amount of $30,000 and accrued interest of $30,000. The noteholder agreed to be repaid a total of $29,223 for the principal amount and $29,223 for the accrued interest on the loan. This resulted in a gain on debt extinguishment of $1,554. The final payment was made on April 1,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 2025, a shareholder and the Company agreed on repayment terms for various loans including accrued interest. The total principal amount includes the loans from February 2025 and an $80,000 loan which was made to the Company during August of 2024, included in Note 6. The total repayment was $206,617 and it included $95,500 in principal and $111,117 in accrued interest. The final payment was made on April 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Debt - December 2024</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of 2025, the Company repaid the total loan principal of $25,000 and accrued interest of $7,500 that was outstanding as of December 31, 2024. The 1,875 shares in connection with the share payable amount of $7,500 as of March 31, 2025, were issued in April of 2025, subsequent to the maturity date of February 15,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of 2025, the Company issued 11,250 shares of Common Stock in connection with a $45,000 balance in shares payable as of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Agreement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April of 2025, the first payment of $50,000 was made, subsequent to the due date of March 20, 2025. Additionally, $200,000 worth of the Company’s common stock, priced at the Company’s IPO price of $4.00 per share became due within ten business days of the Listing Date. The Company issued the shares, totaling 50,000, in April of 2025, subsequent to the due date of March 20,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Issuances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April of 2025, the Company issued 6,250 shares of common stock in connection to the stock subscription dated December 26, 2024 with our current CFO, Chetan Jindal, for total cash proceeds of $25,000.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Purchase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12, 2025, the Company executed an amendment to the MSA with Artemis. The amendment eliminated the guarantee of the sale price delta making the Company no longer subject to guaranteeing a minimum return of $4 on the sale of each share received in compensation for the MSA. The amendment triggered a payment of $225,000 by the Company to Artemis. Further, the Company agreed to remove the lock-up provision and gradual release obligations relating to the stock consideration included in exhibit A of the agreement which releases 234,375 shares of Common Stock.</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same day, the Company executed an amendment to the SaaS Agreement with EVEMeta. The amendment eliminated the guarantee of the sale price delta making the Company no longer subject to guaranteeing a minimum return of $4 on the sale of each share received in compensation for the SaaS Agreement. The amendment triggered a payment of $25,000 by the Company to EVEMeta.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June of 2025, the Company issued stock options to Executives, an employee and a contractor of the Company with options to purchase a total of 1,052,888 shares of Common Stock. Vesting terms extend from three to four years, with some of the shares vesting immediately. As of June of 2025, 436,833 shares were vested. The options carry strike prices that range from $0.576 to $0.839.</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is intended as a review of significant factors affecting our financial condition and results of operations for the periods indicated. The discussion should be read in conjunction with our condensed unaudited financial statements and the notes presented herein included in this Form 10-Q and the audited financial statements and the other information set forth in the 2024 Form 10-K. When used, the words “believe,” “plan,” “intend,” “anticipate,” “target,” “estimate,” “expect” and the like, and/or future tense or conditional constructions (“will,” “may,” “could,” “should,” etc.), or similar expressions, identify certain of these forward-looking statements. In addition to historical information, the following Management’s Discussion and Analysis of Financial Condition and Results of Operations contains forward-looking statements that involve risks and uncertainties including, but not limited to, those set forth below under “Risk Factors” and elsewhere herein, and those identified under Part I, Item 1A of our 2024 Form 10-K. Our actual results could differ significantly from those anticipated in these forward-looking statements as a result of certain factors discussed herein and any other periodic reports filed and to be filed with the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Brag House is a mission-driven organization that utilizes a diversified business strategy to operate a vertically integrated platform designed for casual college gamers to drive community-driven gaming experiences anchored in the college sports culture, while creating authentic pathway for brands to connect with our Gen Z audience.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Brag House is a Delaware corporation formed in December 2021. Our founders developed the idea for the Brag House platform in 2018, when our Chief Executive Officer Lavell Juan Malloy, II and his co-founder, Chief Operating Officer Daniel Leibovich, recognized a need in the gaming industry for an esports platform focused specifically on the casual college gamer, and formed our indirect wholly-owned subsidiary, BHI. At that time, our co-founders believed that a significant amount of industry resources were focused predominantly on competitive and professional gamers, much to the detriment of casual gamers, generally, and casual college gamers, specifically. In the years ensuing, we have maintained our focus on the casual college gaming segment and believe we are developing a first-of-its-kind digital platform for casual college gamers to compete, support their team, banter in a safe environment and win prizes. Our vertically integrated approach combines gamer recruitment, facilitation of community engagement and content creation, live-stream production and tournament host activities.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we are creating a new sports medium for Gen Z to engage through gaming by merging gameplay with school spirit in Brag House and student-led activations and tournaments tied to college rivalries with Brag House features and capabilities such as our Bragging Functionality, Loyalty Tokens reward system, and brand-sponsored content and prizes. The growth of our platform since our inception is encouraging, and we believe we are strongly positioned to capitalize on a large portion of the available gaming market. We experienced strong community growth since we launched through March 31, 2025, reaching nearly 1,400,000 video views of our Brag House content on video platforms including X (formerly known as Twitter), TikTok, Meta, Twitch and YouTube, which represent a 148% increase in views year-over-year from 2020 to 2024. We have also generated nearly 8 million impressions and video views since inception, which represents approximately a 57% increase year-over-year from 2020 to 2024. Additionally, since 2022, Brag House spectators who viewed live streams remained on the platform for 19 minutes per stream across over 290,000 live views, which represents nearly a 1.75X increase compared to the industry benchmark of 11 minutes.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creating an organic and inclusive community which facilitates personalized experiences. We believe our experiential framework offers a more authentic and differentiated channel for advertisers to utilize, making the otherwise elusive demographic of gamers and streamers accessible at scale to ourselves and our partners. We do this by offering brand sponsors and advertisers an exclusive marketing channel to reach elusive Gen Z and Millennial gamers and creators, while offering players ways to access exclusive tournaments and programming.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fiscal year 2024, we remained focused on refining our core technology platform, expanding sponsor relationships, and preparing for our IPO, which closed in March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we launched the first activation under our strategic partnership with Learfield, beginning with the University of Florida. This effort includes event planning, brand asset integration, student athlete involvement, and cross-channel marketing. We believe these activations represent a cornerstone of our digital advertising growth strategy.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Post-IPO, we began execution of our development plan with our technology partners, Artemis and EVEMeta. These developments include a focus on building a scalable data insights monetization SaaS model, with a beta version expected in Q1 2026. Once market-ready, we believe this SaaS model will provide a recurring revenue stream by offering anonymized behavioral insights to brand clients seeking better Gen Z engagement.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manage costs associated with our platform and obligations as a public company while investing in revenue-generating infrastructure. We are also exploring cost-efficient marketing methods to optimize awareness while maintaining efficient customer acquisition costs with a focus on high ROI.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near-term objectives include:</w:t>
      </w:r>
    </w:p>
    <w:p>
      <w:pPr>
        <w:spacing w:after="0" w:line="225"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Scaling Learfield-based activations across additional universities under Learfield’s media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digital activations with rewards through Loyalty Tokens and Bragging Functionality.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Advancing technological development modules to operational beta.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formed as a Delaware corporation in December 2021.</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Brag House, Inc. (“BHI”), the Company’s wholly owned indirect subsidiary and the entity through which our operations are primarily conducted, was formed as a Delaware corporation in February 2018.</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11, 2021, Brag House, Ltd. (“BHL”) was registered in the United Kingdom. Their principal offices are located at 7 – 9 Swallow Street, London W1B 4DE, United Kingdom.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16, 2021, BHL acquired all of the 10,000,000 issued and outstanding BHI shares held by BHI shareholders on a one for 14.07 basis (rounded to the nearest whole number) in exchange for 140,700,000 ordinary shares of £0.0001 in BHL, making BHI a wholly owned subsidiary of BHL (“UK Reorganization”).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the UK Reorganization, the board of directors of BHL determined that it was in the best interests of BHL and its shareholders that an initial public offering in the United States and concurrent listing on The Nasdaq Stock Market (“Nasdaq”) be pursued. To effect that proposed initial public offering and listing on Nasdaq, in December 2021, the Company was formed. On February 8, 2022, the Company approved a reorganization, in which the shareholders of BHL would exchange their ordinary shares and preference shares of BHL for a proportionate number of common and preferred shares in the Company on a 21 to 1 basis (“U.S. Reorganization”). Immediately following the U.S. Reorganization, BHL became the wholly-owned subsidiary of the Company, and BHI became the indirect wholly-owned subsidiary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BHL will be wound down and dissolved as soon as reasonably practicable.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effected a 1 for 5.1287 consolidation of our issued and outstanding Common Stock and Preferred Stock on June 14, 2024, (the “Original Reverse Split”). On October 11, 2024, we canceled the Original Reverse Split and filed an amendment to our certificate of incorporation, as amended, with the Secretary of State of the State of Delaware to effect a 1 for 2.43615 consolidation of our issued and outstanding Common Stock and Preferred Stock (the “Reverse Split”). Any future redemption of stock options or warrants for options or warrants that were granted prior to October 11, 2024 will also reflect the Reverse Split. The Company began the process to pay for the Fractional Shares, which total $85.81, to its shareholders that were affected by the Reverse Split. This Quarterly Report gives effect to the cancellation of the Original Reverse Split and the effectiveness of the Reverse Split. Except where otherwise indicated, all share and per share data in this Annual Report have been retroactively restated to reflect the Reverse Split.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Our principal executive offices are located at 45 Park Street, Montclair, NJ 07042 and our telephone number is 413-398-2845. Our website address is </w:t>
      </w:r>
      <w:r>
        <w:rPr>
          <w:rFonts w:ascii="Times New Roman" w:cs="Times New Roman" w:eastAsia="Times New Roman" w:hAnsi="Times New Roman"/>
          <w:sz w:val="18"/>
          <w:szCs w:val="18"/>
          <w:i w:val="1"/>
          <w:iCs w:val="1"/>
          <w:color w:val="auto"/>
        </w:rPr>
        <w:t>www.braghouse.com</w:t>
      </w:r>
      <w:r>
        <w:rPr>
          <w:rFonts w:ascii="Times New Roman" w:cs="Times New Roman" w:eastAsia="Times New Roman" w:hAnsi="Times New Roman"/>
          <w:sz w:val="18"/>
          <w:szCs w:val="18"/>
          <w:color w:val="auto"/>
        </w:rPr>
        <w:t>. The investor relations portion of our website is available at</w:t>
      </w:r>
      <w:r>
        <w:rPr>
          <w:rFonts w:ascii="Times New Roman" w:cs="Times New Roman" w:eastAsia="Times New Roman" w:hAnsi="Times New Roman"/>
          <w:sz w:val="18"/>
          <w:szCs w:val="18"/>
          <w:i w:val="1"/>
          <w:iCs w:val="1"/>
          <w:color w:val="auto"/>
        </w:rPr>
        <w:t xml:space="preserve"> corp.braghouse.com</w:t>
      </w:r>
      <w:r>
        <w:rPr>
          <w:rFonts w:ascii="Times New Roman" w:cs="Times New Roman" w:eastAsia="Times New Roman" w:hAnsi="Times New Roman"/>
          <w:sz w:val="18"/>
          <w:szCs w:val="18"/>
          <w:color w:val="auto"/>
        </w:rPr>
        <w:t>. The references to our website addresses do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incorporation by reference of the information contained at or available through our websites, and you should not consider it to be a part of this Quarterly Report. We have included our website addresses in this Quarterly Report solely as inactive textual references.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 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March 31, 2025 as Compared to the Three Months Ended March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 for the three months ended March 31, 2025 and 2024 was $0 and $55, respectively. Revenues for the periods presented consisted of the following: live-streaming services. This decrease in revenue was mainly attributable to no revenue-generating tournament activity or live streaming services in the three months ended March 31, 2025. The Company had no tournament revenue for the three months ended March 31, 2025 and 2024. The live streaming revenue referenced above represents an insignificant source of revenue for the Company.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Tournament revenue consists of money earned from tournament sponsors. The Company’s other revenue comes from revenue earned on the Twitch streaming platform through the Company’s enrollment in the Twitch Affiliate Program. The affiliate program allows the Company to earn revenue from advertising provided to viewers on the channel. The Company streams live events, and their channel may also include past tournaments that can be watched as a Video on Demand (“VOD”). Additionally, the Company generates subscription revenue for users who subscribe to Brag House’s Twitch live-streaming channel. Live-streaming service revenue is not considered tournament revenue since it is not directly attributed to money earned from tournament sponsors and is not received from such sources. This revenue is tracked, determined, and disbursed to the Company directly by Twitch.</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expenses for the three months ended March 31, 2025 and 2024 were $584,470 and $232,014, respectively, and in the three months ended March 31, 2025, consisted mainly of selling, general and administrative expenses of $257,159, legal and professional fees of $138,324, stock-based compensation on restricted stock agreements of $42,500 and advertising and marketing costs of $81,450. In the three months ended March 31, 2024, the Company’s operating expenses consisted mainly of selling, general and administrative expenses of $122,561, legal and professional fees of $52,458, stock-based compensation on restricted stock agreements of $46,016 and advertising and marketing costs of $0. This represents an increase of $134,598 in selling, general and administrative expenses, an increase of $85,866 in legal and professional fees, a decrease of $3,516 in stock-based compensation on restricted stock agreements and an increase of $81,450 in advertising and marketing costs. The increase in operating expenses during the three months ended March 31, 2025 was mainly attributed to increased spending in operations with the recent completion of the IPO in March of 2025.</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and December 31, 2024 the Company had $3,458,017 and $29,228 in cash, respectively, and a working capital surplus of $1,446,355 and deficit of $9,675,586, respectively. The Company’s liquidity needs up to March 31, 2025 were satisfied through proceeds from the sale of equity in the Company’s IPO, convertible debt, notes payable and bridge loans.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financial statements have been prepared on the basis that the Company will continue as a going concern, which contemplates realization of assets and the satisfaction of liabilities in the normal course of business. At March 31, 2025 and December 31, 2024 the Company had an accumulated deficit of $15,715,375 and $14,647,702, respectively. For the three months ended March 31, 2025 and March 31, 2024 the Company had a net loss of $1,067,673 and $1,034,161, respectively, and negative cash flows from operations of $1,767,013 and positive cash flows from operations of $56,348, respectively. The Company’s operating activities consume the majority of its cash resources. The Company will continue to promote its services to existing and potential customers, but it anticipates that it will continue to incur operating losses as it executes its development plans through 2025, as well as other potential strategic and business development initiatives. In addition, the Company has had and expects to have negative cash flows from operations, at least into the near future. The Company previously funded and plans to continue funding these losses primarily through the sale of equity and loans. The accompanying financial statements do not include any adjustments that might be necessary should the Company be unable to continue as a going concern.</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our agreement with Moroch, we held the “Texas Loyalty Cup”, a Brag House tournament, in 2021 in collaboration with McDonald’s and Coca-Cola. The success of the tournament led to a continued and stronger relationship with McDonald’s and Coca-Cola as we had held two tournaments in 2022: “SoCal FIFA 23 Tournament” which was a direct contract with Coca-Cola and collaborated with McDonald’s through their marketing agency of the Southern California Region, DE, and “Black and Positively Golden Gamers HBCU Tournament Featuring Fortnite” which was a contract with McDonald’s through their agency, WI, in collaboration with Coca-Cola. Due to the success Brag House was able to achieve, the partnership with McDonald’s and Coca-Cola grew stronger as Brag House was contracted by Coca-Cola, in collaboration with McDonald’s, for the third consecutive year to host a nationwide Fortnite tournament with student gamers from five states (Washington, Oregon, California, Oklahoma and Kansas). The tournament is known as the Golden Royale Cup, and took place over the course of three weeks in November, with three qualifying matches, followed by a grand finale match. The Golden Royale Cup amassed nearly 20,000 total hours of aggregate live-streaming content watched, and garnered nearly 300,000 views from gamers watching the tournament in real-time. Furthermore, the event received nearly 1 million impressions across Brag House’s social media platforms.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Golden Royale Cup from November 2023, Brag House has finalized three major partnerships agreements; the first with the FWSC, a division of The City of Fort Worth, where we hosted an in-person esports and scholars event on September 21, 2024 at the FWCC focused on college students for the State of Texas. This event showcased not only competitive gaming for the casual gamers but also educational and career opportunities related to gaming and esports for Texas college students while giving the students opportunities to earn and win scholarships. This event featured speakers and panelists from diverse industries, including media agencies, universities, and the movie and entertainment sectors; the second with the Denver Broncos, a world-renowned American Football franchise that competes in the NFL to be a gaming partner for in-person and digital gaming activations (i.e. gaming events) for, at minimum, the 2023-2024 NFL seasons. This partnership concluded in September 2024.</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Brag House also secured a strategic partnership for tournament and promotional events in 2025 with Learfield Communications, LLC, formerly Learfield IMG College, a billion dollar media company that holds the media rights to hundreds of colleges in the US, including collegiate properties as the NCAA and its 89 championships and NCAA Football. However, it is important to note that the current agreement does not guarantee revenue, nor does it obligate Learfield or its affiliates to provide data access or support beyond the sales representation scope. The partnership’s first activation was held online on May 17, 2025 (originally scheduled for March 5, 2025) for students and alumni of the University of Florida, one of Learfield’s media rights properties. The execution of this initial activation will serve as a test case for future expansion and data-driven initiatives.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partnership positions Brag House to leverage Learfield’s college network to generate sponsorship revenue, ensuring brand engagement opportunities, and gives Brag House access to extensive datasets from diverse college campuses as we evolve into a scalable data insight revenue model, where we aim to enable brands to gain data insights to create enhanced, personalized and effective marketing campaigns.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this partnership will contribute directly to Brag House’s revenue model through shared sponsorship earnings, while validating Brag House’s marketing and data strategy for reaching college-aged Gen Z gamers. Through this, the Company plans to scale across Learfield’s properties, expanding brand partnerships in the gaming and esports spaces.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believes this is a strong indicator of continued growth in the coming years for tournament revenue. While the Company believes in its viability to raise additional funds, there can be no assurances to that effect. The ability of the Company to continue as a going concern is dependent upon the Company’s ability to further implement its business plan.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 has earned minimal revenue through the three months ended March 31, 2025. As such, these matters raise substantial doubt about the Company’s ability to continue as a going concern for the next twelve months from the issuance of the accompanying consolidated financial statements. If adequate funds are not available on acceptable terms, or at all, the Company will need to curtail operations or cease operations completely.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45"/>
        </w:trPr>
        <w:tc>
          <w:tcPr>
            <w:tcW w:w="86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(Used In) Provided By Operating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(1,767,013)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56,348</w:t>
            </w:r>
          </w:p>
        </w:tc>
        <w:tc>
          <w:tcPr>
            <w:tcW w:w="100" w:type="dxa"/>
            <w:vAlign w:val="bottom"/>
            <w:shd w:val="clear" w:color="auto" w:fill="CCEEFF"/>
          </w:tcPr>
          <w:p>
            <w:pPr>
              <w:spacing w:after="0"/>
              <w:rPr>
                <w:sz w:val="18"/>
                <w:szCs w:val="18"/>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Cash Flows Provided By Financing Activities</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5,195,802</w:t>
            </w: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72,844</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3,428,789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Operating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we used $1,767,013 of cash in our operating activities, which was mainly attributable to the payment of accounts payable, accrued payroll, accrued liabilities, and deferred offering costs. For the three months ended March 31, 2024, we received $56,348 of cash from our operating activities, which was mainly attributable to increases in accounts payable, accrued payroll, loan extension fees, share payable, and accrued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Financing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we received $6,991,650 from the issuance of notes payable, original issue discount convertible loans, and the sale of Common Stock. We reduced our cash position by repaying notes payable and original issue discount convertible loans, net of debt discounts and debt issuance costs for $501,126. Also, we reduced our cash position with the payment of offering costs in connection with the sale of Common Stock totaling $1,294,722. For the three months ended March 31, 2024, we received $72,844 from the issuance of original issue discount convertible loans, net of debt discounts and debt issuance costs.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did not have any off-balance sheet arrangements as defined in Item 303(a)(4)(ii) of Regulation S-K promulgated under the Exchange Act.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did not have any contractual obligations or commitments which would have an impact on our financial statements for the three months ending March 31, 2025 and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Prior to our IPO, we had been a private company with limited accounting and financial reporting personnel and other resources to address our internal controls and procedures. In connection with the audits of our consolidated financial statements as of December 31, 2024 and 2023, we identified control deficiencies in our financial reporting process that constitute material weaknesses for the years then ended. We have a material weakness related to the review and approval of cash disbursements and related journal entries for operating and payroll-related expenses incurred, including the failure to maintain readily accessible executed versions of significant agreements entered into by the Company. Due to the lack of formal documentation maintained around the review and approval of these types of transactions, it was determined that we did not adhere to established controls around our cash disbursement process, nor the review and approval of related journal entries recorded. Additionally, we have a material weakness related to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defined in the standards established by the Public Company Accounting Oversight Board, or the PCAOB, of the United States,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already taken a number of measures to address the internal control deficiencies that have been identified including, hiring a full-time chief financial office with extensive public-company reporting and technical accounting experience to provide additional financial reporting oversight and review, expanding our existing accounting and financial reporting personnel, as well as establishing effective monitoring and oversight controls. We believe these measures will assist us with meeting the Sarbanes-Oxley compliance requirements and improving our overall internal controls. However, we cannot assure you that these measures may fully address the material weaknesses in our internal control over financial reporting or that we may conclude that they have been fully remediated.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implement our remediation plan within the next 12 months. However, we have not tested the effectiveness of our internal control over financial reporting and cannot assure you that we will be able to successfully remediate these material weaknesses and, even if we do, we cannot assure you that we will not suffer from other material weaknesses in the future. Except for additional personnel costs, we do not expect to incur any material costs related to our remediation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process of designing and implementing an effective financial reporting system is a continuous effort that requires us to anticipate and react to changes in our business and the economic and regulatory environments and to expend significant resources to maintain a financial reporting system that is adequate to satisfy our reporting obligation.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company with less than US $1.235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of the notes to our consolidated financial statements for a comprehensive list of new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which require our management to make estimates that affect the reported amounts of assets and liabilities and disclosure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items within our financial statement that require estimation but are not deemed critical, as defined above.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detailed discussion of our significant accounting policies and related judgments, see Note 2 of the Notes to Consolidated Financial Statements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and Management’s Liquidity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independent auditors’ report accompanying our December 31, 2024 financial statements contain an explanatory paragraph expressing substantial doubt about our ability to continue as a going concern. As of March 31, 2025, we have incurred recurring losses from operations and have not generated net income since our inception. We have funded our operations primarily through debt and equity financings, including the proceeds received in connection with our public offering on March 6, 2025, upon which we became a publicly traded company subsequent to the date of these financial statements. While this recent capital raise has provided us with the resources necessary to begin executing our business plan, we anticipate that we will continue to incur operating losses and negative cash flows from operations for the foreseeable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 the development stage of our platform and related software, and we do not expect to generate sufficient revenue to achieve net income during the next twelve months. Our business plan includes the ongoing development of our software platform, strategic marketing initiatives, and the organization of several gaming activations during the upcoming fiscal year to increase user engagement and brand visibility.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believe that our current cash and cash equivalents, together with the funds raised in our recent public offering, will be sufficient to fund our operations through at least the next twelve months, our operating plan anticipates continued investment in product development, infrastructure, and customer acquisition to realize sufficient revenue to cover operating expenses. These conditions raise substantial doubt about our ability to continue as a going concern within one year after the date that the financial statements are issued.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accompanying financial statements have been prepared in conformity with U.S. GAAP, which contemplates continuation of the Company as a going concern and the realization of assets and the satisfaction of liabilities in the normal course of business. The financial statements do not include any adjustments that might result from the outcome of this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hold any derivative instruments and do not engage in any hedging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 13a-15(e), promulgated by the SEC pursuant to the Securities Exchange Act of 1934, as amended (the “Exchange Act”). Disclosure controls and procedures include controls and procedures designed to ensure that information required to be disclosed in our Company’s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 Our management, with the participation of our principal executive officer and principal financial officer, evaluated our Company’s disclosure controls and procedures as of the end of the period covered by this Form 10-Q. Based on this evaluation, our principal executive officer and principal financial officer concluded that as of March 31, 2025, our disclosure controls and procedures were not effective. The ineffectiveness of our disclosure controls and procedures was due to material weaknesses related to the review and approval of cash disbursements and related journal entries for operating and payroll-related expenses incurred, including the failure to maintain readily accessible executed versions of significant agreements entered into by the Company and the lack of controls over our income tax related accounts and disclosures. In the absence of such formal documentation related to our management’s review and approval of such processes, potential material misstatements may go undetected. Additionally, the Company has a material weakness related to its ability to record and disclose complex transactions with debt and/or equity features. Lastly, the Company has a material weakness related to the lack of cybersecurity policies and procedures in place. In the absence of cybersecurity controls, Company operations may be negatively impacted, as all Company activities take place online.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Quarterly Report on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Quarterly Report on Form 10-Q does not include a report of management’s assessment regarding internal control over financial reporting due to a transition period established by the rules of the SEC for newly public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(as defined in Rules 13a-15(f) and 15d-15(f) of the Exchange Act) during the fiscal quarter ended March 31, 2025, that has materially affected, or is reasonably likely to materially affect, the Company’s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actions, suits, proceedings, inquiries or investigation before or by any court, public board, government agency, self-regulatory organization or body pending or, to the knowledge of the executive officers of our Company or any of our subsidiaries, threatened against or affecting our Company, our common stock, any of our officers or directors in their capacities as such, in which an adverse decision could have a material adverse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Deficiency - Minimum Bid Requirement</w:t>
      </w:r>
    </w:p>
    <w:p>
      <w:pPr>
        <w:spacing w:after="0" w:line="2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May 15, 2025, the Company received a deficiency letter from the Listing Qualifications Department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the Company that, based upon the closing bid price of the Company’s common stock, par value $0.0001 per share, for the last 30 consecutive business days, the Company is not currently in compliance with the requirement to maintain a minimum bid price of $1.00 per share for continued listing on The Nasdaq Capital Market, as set forth in Nasdaq Listing Rule 5550(a)(2).</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While the notice has no immediate effect on the listing or trading of the Company’s common stock, and the Company’s listing remains fully effective, there is a risk of delisting if the Company does not regain compliance within the prescribed timeframe.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been provided a 180 calendar day grace period, or until November 11, 2025, to regain compliance. To do so, the closing bid price of the Company’s common stock must meet or exceed $1.00 per share for at least ten consecutive business days prior to that date. If the Company fails to regain compliance by that deadline, it may be eligible for an additional 180-day compliance period, provided it satisfies all other initial listing criteria for The Nasdaq Capital Market, except for the minimum bid price requirement.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actively monitoring the situation and exploring options to regain compliance. However, there can be no assurance that the Company will meet the minimum bid price requirement within the allotted timeframe, qualify for an additional compliance period, or maintain compliance with other Nasdaq continued listing standards. Failure to regain compliance could result in the delisting of the Company’s common stock from Nasdaq, which could adversely affect the trading market, liquidity, and market price of the common stock, and limit the Company’s ability to access capital markets.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filing, the deficiency has not been cured.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Deficiency - Late Filing</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27, 2025, the Company received a deficiency letter from the Listing Qualifications Department of the Nasdaq Stock Market LLC notifying the Company that it is not not in compliance with periodic requirements for continued listing set forth in Nasdaq Listing Rule 5250(c)(1) because the Company’s Quarterly Report on Form 10-Q for the period ended March 31, 2025 was not filed with the Securities and Exchange Commission by the required due date of May 15, 2025. The Company was given 60 calendar days or until July 28, 2025 to submit a plan to Nasdaq to regain compliance. The financial statements were filed prior to the deadline and this resolved the deficiency.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Naked Short Selling Investigation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14, 2025, the Company issued a press release announcing that the Company had sent letters to the U.S. Securities and Exchange Commission, Financial Industry Regulatory Authority, and The Nasdaq Stock Market LLC requesting an immediate investigation into any potential illegal naked short selling of Brag House stock. The outcome of the investigation is still pending.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Unregistered Sales of Equity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sales of equity securities sold during the period covered by this Quarterly Report that were not registered under the Securities Act and were not previously reported in a Current Report on Form 8-K filed by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Issuer Purchases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 (Removed and Reserved)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 index set forth below is incorporated by reference in response to this Item 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Filed or</w:t>
            </w:r>
          </w:p>
        </w:tc>
      </w:tr>
      <w:tr>
        <w:trPr>
          <w:trHeight w:val="180"/>
        </w:trPr>
        <w:tc>
          <w:tcPr>
            <w:tcW w:w="1040" w:type="dxa"/>
            <w:vAlign w:val="bottom"/>
            <w:gridSpan w:val="2"/>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Exhibit</w:t>
            </w:r>
          </w:p>
        </w:tc>
        <w:tc>
          <w:tcPr>
            <w:tcW w:w="10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Furnished</w:t>
            </w:r>
          </w:p>
        </w:tc>
      </w:tr>
      <w:tr>
        <w:trPr>
          <w:trHeight w:val="245"/>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0" w:type="dxa"/>
            <w:vAlign w:val="bottom"/>
          </w:tcPr>
          <w:p>
            <w:pPr>
              <w:spacing w:after="0"/>
              <w:rPr>
                <w:sz w:val="21"/>
                <w:szCs w:val="21"/>
                <w:color w:val="auto"/>
              </w:rPr>
            </w:pPr>
          </w:p>
        </w:tc>
        <w:tc>
          <w:tcPr>
            <w:tcW w:w="4940" w:type="dxa"/>
            <w:vAlign w:val="bottom"/>
            <w:gridSpan w:val="15"/>
          </w:tcPr>
          <w:p>
            <w:pPr>
              <w:ind w:left="11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196"/>
        </w:trPr>
        <w:tc>
          <w:tcPr>
            <w:tcW w:w="9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140" w:type="dxa"/>
            <w:vAlign w:val="bottom"/>
            <w:tcBorders>
              <w:top w:val="single" w:sz="8" w:color="auto"/>
              <w:bottom w:val="single" w:sz="8" w:color="0000EE"/>
            </w:tcBorders>
            <w:gridSpan w:val="6"/>
            <w:shd w:val="clear" w:color="auto" w:fill="CCEEFF"/>
          </w:tcPr>
          <w:p>
            <w:pPr>
              <w:spacing w:after="0" w:line="17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Certificate of Incorporation of Brag House Holdings, Inc.</w:t>
              </w:r>
            </w:hyperlink>
          </w:p>
        </w:tc>
        <w:tc>
          <w:tcPr>
            <w:tcW w:w="1740" w:type="dxa"/>
            <w:vAlign w:val="bottom"/>
            <w:tcBorders>
              <w:top w:val="single" w:sz="8" w:color="auto"/>
              <w:bottom w:val="single" w:sz="8" w:color="CCEEFF"/>
            </w:tcBorders>
            <w:gridSpan w:val="9"/>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1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5960" w:type="dxa"/>
            <w:vAlign w:val="bottom"/>
            <w:gridSpan w:val="16"/>
          </w:tcPr>
          <w:p>
            <w:pPr>
              <w:spacing w:after="0" w:line="17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Certificate of Designation of Series A Convertible Preferred Stock</w:t>
              </w:r>
            </w:hyperlink>
          </w:p>
        </w:tc>
        <w:tc>
          <w:tcPr>
            <w:tcW w:w="9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5"/>
                <w:szCs w:val="15"/>
                <w:color w:val="auto"/>
              </w:rPr>
            </w:pPr>
          </w:p>
        </w:tc>
        <w:tc>
          <w:tcPr>
            <w:tcW w:w="1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07/10/2024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Certificate  of  Amendment  to  Certificate  of  Incorporation  of  Brag  House</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6"/>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52">
              <w:r>
                <w:rPr>
                  <w:rFonts w:ascii="Times New Roman" w:cs="Times New Roman" w:eastAsia="Times New Roman" w:hAnsi="Times New Roman"/>
                  <w:sz w:val="18"/>
                  <w:szCs w:val="18"/>
                  <w:color w:val="0000EE"/>
                  <w:w w:val="97"/>
                </w:rPr>
                <w:t>Holdings, Inc.</w:t>
              </w:r>
            </w:hyperlink>
          </w:p>
        </w:tc>
        <w:tc>
          <w:tcPr>
            <w:tcW w:w="4940" w:type="dxa"/>
            <w:vAlign w:val="bottom"/>
            <w:tcBorders>
              <w:bottom w:val="single" w:sz="8" w:color="CCEEFF"/>
            </w:tcBorders>
            <w:gridSpan w:val="15"/>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5960" w:type="dxa"/>
            <w:vAlign w:val="bottom"/>
            <w:gridSpan w:val="16"/>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Second Certificate of Amendment to Certificate of Incorporation of Brag House</w:t>
              </w:r>
            </w:hyperlink>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2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Holdings, Inc.</w:t>
              </w:r>
            </w:hyperlink>
          </w:p>
        </w:tc>
        <w:tc>
          <w:tcPr>
            <w:tcW w:w="140" w:type="dxa"/>
            <w:vAlign w:val="bottom"/>
            <w:gridSpan w:val="4"/>
          </w:tcPr>
          <w:p>
            <w:pPr>
              <w:spacing w:after="0"/>
              <w:rPr>
                <w:sz w:val="17"/>
                <w:szCs w:val="17"/>
                <w:color w:val="auto"/>
              </w:rPr>
            </w:pPr>
          </w:p>
        </w:tc>
        <w:tc>
          <w:tcPr>
            <w:tcW w:w="9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12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Third Certificate of Amendment to Certificate of Incorporation of Brag House</w:t>
              </w:r>
            </w:hyperlink>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54">
              <w:r>
                <w:rPr>
                  <w:rFonts w:ascii="Times New Roman" w:cs="Times New Roman" w:eastAsia="Times New Roman" w:hAnsi="Times New Roman"/>
                  <w:sz w:val="18"/>
                  <w:szCs w:val="18"/>
                  <w:color w:val="0000EE"/>
                  <w:w w:val="97"/>
                </w:rPr>
                <w:t>Holdings, Inc.</w:t>
              </w:r>
            </w:hyperlink>
          </w:p>
        </w:tc>
        <w:tc>
          <w:tcPr>
            <w:tcW w:w="4940" w:type="dxa"/>
            <w:vAlign w:val="bottom"/>
            <w:tcBorders>
              <w:bottom w:val="single" w:sz="8" w:color="CCEEFF"/>
            </w:tcBorders>
            <w:gridSpan w:val="15"/>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tcBorders>
              <w:bottom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ind w:left="140"/>
              <w:spacing w:after="0" w:line="196" w:lineRule="exact"/>
              <w:rPr>
                <w:sz w:val="20"/>
                <w:szCs w:val="20"/>
                <w:color w:val="auto"/>
              </w:rPr>
            </w:pPr>
            <w:r>
              <w:rPr>
                <w:rFonts w:ascii="Times New Roman" w:cs="Times New Roman" w:eastAsia="Times New Roman" w:hAnsi="Times New Roman"/>
                <w:sz w:val="18"/>
                <w:szCs w:val="18"/>
                <w:color w:val="auto"/>
              </w:rPr>
              <w:t>02/04/2025</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5"/>
                <w:szCs w:val="15"/>
                <w:color w:val="auto"/>
              </w:rPr>
            </w:pPr>
          </w:p>
        </w:tc>
        <w:tc>
          <w:tcPr>
            <w:tcW w:w="5960" w:type="dxa"/>
            <w:vAlign w:val="bottom"/>
            <w:gridSpan w:val="16"/>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Bylaws of Brag House Holdings, Inc.</w:t>
              </w:r>
            </w:hyperlink>
          </w:p>
        </w:tc>
        <w:tc>
          <w:tcPr>
            <w:tcW w:w="9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S-1</w:t>
            </w:r>
          </w:p>
        </w:tc>
        <w:tc>
          <w:tcPr>
            <w:tcW w:w="8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5"/>
                <w:szCs w:val="15"/>
                <w:color w:val="auto"/>
              </w:rPr>
            </w:pPr>
          </w:p>
        </w:tc>
        <w:tc>
          <w:tcPr>
            <w:tcW w:w="112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06/18/2024</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7"/>
                <w:szCs w:val="17"/>
                <w:color w:val="auto"/>
              </w:rPr>
            </w:pPr>
          </w:p>
        </w:tc>
        <w:tc>
          <w:tcPr>
            <w:tcW w:w="59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Second Amended and Restated Bylaws of Brag House Holdings, Inc.</w:t>
              </w:r>
            </w:hyperlink>
          </w:p>
        </w:tc>
        <w:tc>
          <w:tcPr>
            <w:tcW w:w="9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7"/>
              </w:rPr>
              <w:t>S-1/A</w:t>
            </w:r>
          </w:p>
        </w:tc>
        <w:tc>
          <w:tcPr>
            <w:tcW w:w="8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02/11/2025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5"/>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4980" w:type="dxa"/>
            <w:vAlign w:val="bottom"/>
            <w:tcBorders>
              <w:top w:val="single" w:sz="8" w:color="0000EE"/>
            </w:tcBorders>
            <w:gridSpan w:val="8"/>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Form of Representative’s Warrant Agreement</w:t>
              </w:r>
            </w:hyperlink>
          </w:p>
        </w:tc>
        <w:tc>
          <w:tcPr>
            <w:tcW w:w="980" w:type="dxa"/>
            <w:vAlign w:val="bottom"/>
            <w:tcBorders>
              <w:top w:val="single" w:sz="8" w:color="CCEEFF"/>
            </w:tcBorders>
            <w:gridSpan w:val="8"/>
          </w:tcPr>
          <w:p>
            <w:pPr>
              <w:spacing w:after="0"/>
              <w:rPr>
                <w:sz w:val="15"/>
                <w:szCs w:val="15"/>
                <w:color w:val="auto"/>
              </w:rPr>
            </w:pPr>
          </w:p>
        </w:tc>
        <w:tc>
          <w:tcPr>
            <w:tcW w:w="900" w:type="dxa"/>
            <w:vAlign w:val="bottom"/>
            <w:tcBorders>
              <w:top w:val="single" w:sz="8" w:color="CCEEFF"/>
            </w:tcBorders>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03/11/2025</w:t>
            </w: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7"/>
                <w:szCs w:val="17"/>
                <w:color w:val="auto"/>
              </w:rPr>
            </w:pPr>
          </w:p>
        </w:tc>
        <w:tc>
          <w:tcPr>
            <w:tcW w:w="596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Marketing Agreement With Outside The Box Capital, Inc., Dated March 1, 2025</w:t>
              </w:r>
            </w:hyperlink>
          </w:p>
        </w:tc>
        <w:tc>
          <w:tcPr>
            <w:tcW w:w="9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10-K</w:t>
            </w:r>
          </w:p>
        </w:tc>
        <w:tc>
          <w:tcPr>
            <w:tcW w:w="100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w w:val="99"/>
              </w:rPr>
              <w:t>10.10(B)</w:t>
            </w:r>
          </w:p>
        </w:tc>
        <w:tc>
          <w:tcPr>
            <w:tcW w:w="11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05/07/2025</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176"/>
        </w:trPr>
        <w:tc>
          <w:tcPr>
            <w:tcW w:w="9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Amendment to Master Services Agreement</w:t>
            </w:r>
          </w:p>
        </w:tc>
        <w:tc>
          <w:tcPr>
            <w:tcW w:w="160" w:type="dxa"/>
            <w:vAlign w:val="bottom"/>
            <w:tcBorders>
              <w:top w:val="single" w:sz="8" w:color="CCEEFF"/>
            </w:tcBorders>
            <w:gridSpan w:val="5"/>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596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Amendment to EVEMeta Compression Software as a Software Agreement</w:t>
            </w: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584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Required  by  Rule  13a-14(a)  of</w:t>
            </w:r>
          </w:p>
        </w:tc>
        <w:tc>
          <w:tcPr>
            <w:tcW w:w="12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w:t>
            </w:r>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Chief Financial Officer Required by Rule 13a-14(a) of</w:t>
            </w:r>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196"/>
        </w:trPr>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5860" w:type="dxa"/>
            <w:vAlign w:val="bottom"/>
            <w:tcBorders>
              <w:bottom w:val="single" w:sz="8" w:color="0000EE"/>
            </w:tcBorders>
            <w:gridSpan w:val="14"/>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the Securities Exchange Act of 1934, as amended, as Adopted Pursuant to</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r>
      <w:tr>
        <w:trPr>
          <w:trHeight w:val="196"/>
        </w:trPr>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96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5"/>
                <w:szCs w:val="15"/>
                <w:color w:val="auto"/>
              </w:rPr>
            </w:pPr>
          </w:p>
        </w:tc>
        <w:tc>
          <w:tcPr>
            <w:tcW w:w="584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w:t>
            </w:r>
          </w:p>
        </w:tc>
        <w:tc>
          <w:tcPr>
            <w:tcW w:w="120" w:type="dxa"/>
            <w:vAlign w:val="bottom"/>
            <w:gridSpan w:val="3"/>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96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 xml:space="preserve">Adopted Pursuant to Section 906 of the Sarbanes-Oxley Act of 2002 </w:t>
            </w:r>
            <w:r>
              <w:rPr>
                <w:rFonts w:ascii="Times New Roman" w:cs="Times New Roman" w:eastAsia="Times New Roman" w:hAnsi="Times New Roman"/>
                <w:sz w:val="18"/>
                <w:szCs w:val="18"/>
                <w:b w:val="1"/>
                <w:bCs w:val="1"/>
                <w:color w:val="0000EE"/>
              </w:rPr>
              <w:t>#</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9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Borders>
              <w:bottom w:val="single" w:sz="8" w:color="CCEEFF"/>
            </w:tcBorders>
            <w:shd w:val="clear" w:color="auto" w:fill="CCEEFF"/>
          </w:tcPr>
          <w:p>
            <w:pPr>
              <w:spacing w:after="0"/>
              <w:rPr>
                <w:sz w:val="15"/>
                <w:szCs w:val="15"/>
                <w:color w:val="auto"/>
              </w:rPr>
            </w:pPr>
          </w:p>
        </w:tc>
        <w:tc>
          <w:tcPr>
            <w:tcW w:w="5840" w:type="dxa"/>
            <w:vAlign w:val="bottom"/>
            <w:tcBorders>
              <w:bottom w:val="single" w:sz="8" w:color="0000EE"/>
            </w:tcBorders>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w:t>
            </w:r>
          </w:p>
        </w:tc>
        <w:tc>
          <w:tcPr>
            <w:tcW w:w="120" w:type="dxa"/>
            <w:vAlign w:val="bottom"/>
            <w:tcBorders>
              <w:bottom w:val="single" w:sz="8" w:color="CCEEFF"/>
            </w:tcBorders>
            <w:gridSpan w:val="3"/>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r>
      <w:tr>
        <w:trPr>
          <w:trHeight w:val="217"/>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96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506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900" w:type="dxa"/>
            <w:vAlign w:val="bottom"/>
            <w:tcBorders>
              <w:top w:val="single" w:sz="8" w:color="CCEEFF"/>
            </w:tcBorders>
            <w:gridSpan w:val="7"/>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5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5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16"/>
        </w:trPr>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96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5960" w:type="dxa"/>
            <w:vAlign w:val="bottom"/>
            <w:gridSpan w:val="16"/>
          </w:tcPr>
          <w:p>
            <w:pPr>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 The cover page iXBRL tags are embedded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96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certification is being furnished and shall not be deemed “filed” with the SEC for purposes of Section 18 of the Exchange Act, or otherwise subject to the liability of that section, and shall not be deemed to be incorporated by reference into any filing under the Securities Act or the Exchange Act, except to the extent that the registrant specifically incorporates it by reference.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Lavell Juan Malloy, II</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Lavell Juan Malloy, II</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18,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39"/>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Chetan Jindal</w:t>
            </w:r>
          </w:p>
        </w:tc>
      </w:tr>
      <w:tr>
        <w:trPr>
          <w:trHeight w:val="198"/>
        </w:trPr>
        <w:tc>
          <w:tcPr>
            <w:tcW w:w="7320" w:type="dxa"/>
            <w:vAlign w:val="bottom"/>
          </w:tcPr>
          <w:p>
            <w:pPr>
              <w:ind w:left="67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Chetan Jindal</w:t>
            </w:r>
          </w:p>
        </w:tc>
      </w:tr>
      <w:tr>
        <w:trPr>
          <w:trHeight w:val="214"/>
        </w:trPr>
        <w:tc>
          <w:tcPr>
            <w:tcW w:w="732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Dated: July 18, 2025</w:t>
            </w:r>
          </w:p>
        </w:tc>
        <w:tc>
          <w:tcPr>
            <w:tcW w:w="39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r>
        <w:trPr>
          <w:trHeight w:val="655"/>
        </w:trPr>
        <w:tc>
          <w:tcPr>
            <w:tcW w:w="732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41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MASTER SERVICES AGREEMENT</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This Amendment to the Master Services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12, 2025 (the “</w:t>
      </w:r>
      <w:r>
        <w:rPr>
          <w:rFonts w:ascii="Times New Roman" w:cs="Times New Roman" w:eastAsia="Times New Roman" w:hAnsi="Times New Roman"/>
          <w:sz w:val="18"/>
          <w:szCs w:val="18"/>
          <w:b w:val="1"/>
          <w:bCs w:val="1"/>
          <w:color w:val="auto"/>
        </w:rPr>
        <w:t>Amendment Date</w:t>
      </w:r>
      <w:r>
        <w:rPr>
          <w:rFonts w:ascii="Times New Roman" w:cs="Times New Roman" w:eastAsia="Times New Roman" w:hAnsi="Times New Roman"/>
          <w:sz w:val="18"/>
          <w:szCs w:val="18"/>
          <w:color w:val="auto"/>
        </w:rPr>
        <w:t>”), between Brag House Holdings, Inc. (“</w:t>
      </w:r>
      <w:r>
        <w:rPr>
          <w:rFonts w:ascii="Times New Roman" w:cs="Times New Roman" w:eastAsia="Times New Roman" w:hAnsi="Times New Roman"/>
          <w:sz w:val="18"/>
          <w:szCs w:val="18"/>
          <w:b w:val="1"/>
          <w:bCs w:val="1"/>
          <w:color w:val="auto"/>
        </w:rPr>
        <w:t>Brag</w:t>
      </w:r>
      <w:r>
        <w:rPr>
          <w:rFonts w:ascii="Times New Roman" w:cs="Times New Roman" w:eastAsia="Times New Roman" w:hAnsi="Times New Roman"/>
          <w:sz w:val="18"/>
          <w:szCs w:val="18"/>
          <w:color w:val="auto"/>
        </w:rPr>
        <w:t>”), a Delaware corporation, with its registered office at 45 Park Street, Montclair, NJ 07042, and Artemis Ave LLC (“</w:t>
      </w:r>
      <w:r>
        <w:rPr>
          <w:rFonts w:ascii="Times New Roman" w:cs="Times New Roman" w:eastAsia="Times New Roman" w:hAnsi="Times New Roman"/>
          <w:sz w:val="18"/>
          <w:szCs w:val="18"/>
          <w:b w:val="1"/>
          <w:bCs w:val="1"/>
          <w:color w:val="auto"/>
        </w:rPr>
        <w:t>Artemis</w:t>
      </w:r>
      <w:r>
        <w:rPr>
          <w:rFonts w:ascii="Times New Roman" w:cs="Times New Roman" w:eastAsia="Times New Roman" w:hAnsi="Times New Roman"/>
          <w:sz w:val="18"/>
          <w:szCs w:val="18"/>
          <w:color w:val="auto"/>
        </w:rPr>
        <w:t>”), a Delaware limited liability company, with its registered office at 23371 Mulholland Drive, Suite 480, Beverly Hills, CA 91364. Each of Brag and Artemis may be referred to individually hereinafter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Artemis is a developer of video distribution and social engagement software;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Brag is a company focused on video gaming and creating social communities around video games; and</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Brag and Artemis entered into a Master Services Agreement, dated as of November 13, 2024, pursuant to which Artemis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software development and related services to Brag as described therein (the “</w:t>
      </w:r>
      <w:r>
        <w:rPr>
          <w:rFonts w:ascii="Times New Roman" w:cs="Times New Roman" w:eastAsia="Times New Roman" w:hAnsi="Times New Roman"/>
          <w:sz w:val="18"/>
          <w:szCs w:val="18"/>
          <w:b w:val="1"/>
          <w:bCs w:val="1"/>
          <w:color w:val="auto"/>
        </w:rPr>
        <w:t>MSA</w:t>
      </w:r>
      <w:r>
        <w:rPr>
          <w:rFonts w:ascii="Times New Roman" w:cs="Times New Roman" w:eastAsia="Times New Roman" w:hAnsi="Times New Roman"/>
          <w:sz w:val="18"/>
          <w:szCs w:val="18"/>
          <w:color w:val="auto"/>
        </w:rPr>
        <w:t>”), which the Parties now desire to amend; and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hereby desire to amend the MSA upon the terms and subject to the conditions of this Amendment.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which is hereby acknowledged, the Parties agree as follows:</w:t>
      </w:r>
    </w:p>
    <w:p>
      <w:pPr>
        <w:spacing w:after="0" w:line="155" w:lineRule="exact"/>
        <w:rPr>
          <w:sz w:val="20"/>
          <w:szCs w:val="20"/>
          <w:color w:val="auto"/>
        </w:rPr>
      </w:pPr>
    </w:p>
    <w:p>
      <w:pPr>
        <w:ind w:left="5280" w:hanging="188"/>
        <w:spacing w:after="0"/>
        <w:tabs>
          <w:tab w:leader="none" w:pos="5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respective meanings set forth in the MSA.</w:t>
      </w:r>
    </w:p>
    <w:p>
      <w:pPr>
        <w:spacing w:after="0" w:line="221" w:lineRule="exact"/>
        <w:rPr>
          <w:sz w:val="20"/>
          <w:szCs w:val="20"/>
          <w:color w:val="auto"/>
        </w:rPr>
      </w:pPr>
    </w:p>
    <w:p>
      <w:pPr>
        <w:ind w:left="4760" w:hanging="185"/>
        <w:spacing w:after="0"/>
        <w:tabs>
          <w:tab w:leader="none" w:pos="4760" w:val="left"/>
        </w:tabs>
        <w:numPr>
          <w:ilvl w:val="1"/>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the MSA</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Elimination Guarantee of Sale Price Delta</w:t>
      </w:r>
      <w:r>
        <w:rPr>
          <w:rFonts w:ascii="Times New Roman" w:cs="Times New Roman" w:eastAsia="Times New Roman" w:hAnsi="Times New Roman"/>
          <w:sz w:val="18"/>
          <w:szCs w:val="18"/>
          <w:color w:val="auto"/>
        </w:rPr>
        <w:t>. Section 3(a) shall be amended by deletion of the reference and elimination of the obligation in the second paragraph thereof and elsewhere throughout the MSA relating to Brag’s payment to Artemis of the difference between the actual price at which Artemis sells the shares of Brag Common Stock issued to it under the MSA and the Target Sale Price of $4.00 per share, it being expressly understood that Brag shall have no such obligation following the Amendment Date with respect to any sale of Brag Common Stock by Artemis. Notwithstanding the foregoing, in consideration for the elimination of the $4.00 per share guarantee, Brag agrees to pay Artemis $225,000 within five business days of signing this Amendment. Artemis’s obligation to sell its Brag Common Stock in good faith bona fide arms-length third-party transactions brokered by a registered broker-dealer based on the then-quoted Nasdaq price shall remain in place and apply to any and all of Artemis’ sales of Brag Common Stock issued to it under the MSA.</w:t>
      </w:r>
    </w:p>
    <w:p>
      <w:pPr>
        <w:spacing w:after="0" w:line="19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Lock-Ups and References to the Same</w:t>
      </w:r>
      <w:r>
        <w:rPr>
          <w:rFonts w:ascii="Times New Roman" w:cs="Times New Roman" w:eastAsia="Times New Roman" w:hAnsi="Times New Roman"/>
          <w:sz w:val="18"/>
          <w:szCs w:val="18"/>
          <w:color w:val="auto"/>
        </w:rPr>
        <w:t>. Section 3(a) shall be further amended by deletion of the reference and elimination of the obligation in the second paragraph thereof and elsewhere throughout the MSA relating to the lock-up and gradual release of the Stock Consideration in accordance with the terms of Exhibit A to the MSA (Statement of Work), which shall also be amended to remove the lock-up and gradual release obligations relating to the Stock Consideration, solely with respect to Phases 2, 3, and 4. The Stock Consideration associated with such phases shall be deemed, effective as of the Amendment Date, free of any lock-up restrictions (other than those imposed by applicable Law), and any and all references to such lock-ups in Exhibit A shall be deleted, it being understood that such lock-ups with respect to Phases 2, 3, and 4 have been eliminated by this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left="3460" w:hanging="185"/>
        <w:spacing w:after="0"/>
        <w:tabs>
          <w:tab w:leader="none" w:pos="3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Continued Status as Independent Contractor Relationship.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expressly understood that Artemis’ relationship with Brag remains that of an independent contractor.</w:t>
      </w:r>
    </w:p>
    <w:p>
      <w:pPr>
        <w:spacing w:after="0" w:line="221" w:lineRule="exact"/>
        <w:rPr>
          <w:sz w:val="20"/>
          <w:szCs w:val="20"/>
          <w:color w:val="auto"/>
        </w:rPr>
      </w:pPr>
    </w:p>
    <w:p>
      <w:pPr>
        <w:ind w:left="4000" w:hanging="189"/>
        <w:spacing w:after="0"/>
        <w:tabs>
          <w:tab w:leader="none" w:pos="40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Artemis reiterates the following representations and warranties to Brag, it being understood that no specific representation or warranty will limit the generality or applicability of a more general representation or warranty:</w:t>
      </w:r>
    </w:p>
    <w:p>
      <w:pPr>
        <w:spacing w:after="0" w:line="162" w:lineRule="exact"/>
        <w:rPr>
          <w:sz w:val="20"/>
          <w:szCs w:val="20"/>
          <w:color w:val="auto"/>
        </w:rPr>
      </w:pPr>
    </w:p>
    <w:p>
      <w:pPr>
        <w:jc w:val="both"/>
        <w:ind w:left="660" w:hanging="328"/>
        <w:spacing w:after="0" w:line="25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made with Artemis in reliance upon Artemis’ representation to Brag, which, by execution hereof, Artemis hereby confirms that the Stock Consideration issued to Artemis has been acquired by Artemis for Artemis’ own account, not as a nominee or agent, and not with a view to the resale or distribution of any part thereof. By executing this Amendment, Artemis represents that Artemis does not have any contract, undertaking, agreement or arrangement with any person to sell, transfer or grant participations to any person or to any third parties, with respect to the Stock Consideration.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was given the opportunity to ask questions and receive answers from Brag regarding the terms and conditions of the acquisition of the Stock Consideration and the business, properties, prospects, and financial condition of Brag and its affiliates, and to obtain additional information (to the extent Brag and its affiliates possessed such information or could acquire it without unreasonable effort or expense) necessary to verify the accuracy of any information furnished to Artemis or to which Artemis had access.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is an “accredited investor” as such term is defined in Rule 501 promulgated under the Securities Act.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may only be disposed of in compliance with state and federal securities Laws. In connection with any transfer of Stock Consideration other than pursuant to an effective registration statement or Rule 144, Brag may require the transferor thereof to provide to Brag an opinion of counsel selected by the transferor and reasonably acceptable to Brag, the form and substance of which opinion shall be reasonably satisfactory to Brag, to the effect that such transfer does not require registration of such transferred Stock Consideration under the Securities Act. As a condition of transfer, any such transferee shall agree in writing to be bound by the terms of this Amendment and shall have the rights and obligations of Artemis under this Amendment.</w:t>
      </w:r>
    </w:p>
    <w:p>
      <w:pPr>
        <w:spacing w:after="0" w:line="18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Artemis acknowledges that the following legend will remain on each certificate, if certificated, so long as required by applicable law on each share of Brag Common Stock forming any part of the Stock Consideration as follows:</w:t>
      </w:r>
    </w:p>
    <w:p>
      <w:pPr>
        <w:spacing w:after="0" w:line="161"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 DEALER OR OTHER LOAN WITH A FINANCIAL INSTITUTION THAT IS AN “ACCREDITED INVESTOR” AS DEFINED IN RULE 501(a) UNDER THE SECURITIES ACT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6" w:name="page47"/>
    <w:bookmarkEnd w:id="46"/>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herein, any legend heretofore appearing on the certificates representing the shares of Brag Common Stock issued to Artemis under the MSA that forms part of the Stock Consideration to be freed from lock-up pursuant to Section 2(b) above relating to the application of lock-up provisions may be removed upon Artemis’s written request.</w:t>
      </w:r>
    </w:p>
    <w:p>
      <w:pPr>
        <w:spacing w:after="0" w:line="171" w:lineRule="exact"/>
        <w:rPr>
          <w:rFonts w:ascii="Times New Roman" w:cs="Times New Roman" w:eastAsia="Times New Roman" w:hAnsi="Times New Roman"/>
          <w:sz w:val="18"/>
          <w:szCs w:val="18"/>
          <w:color w:val="auto"/>
        </w:rPr>
      </w:pPr>
    </w:p>
    <w:p>
      <w:pPr>
        <w:ind w:left="4820" w:hanging="182"/>
        <w:spacing w:after="0"/>
        <w:tabs>
          <w:tab w:leader="none" w:pos="482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shall be effective as of the Amendment Date and, unless terminated earlier pursuant to any provision hereof or under the provisions of the MSA, will continue in effect as provided under the MSA.</w:t>
      </w:r>
    </w:p>
    <w:p>
      <w:pPr>
        <w:spacing w:after="0" w:line="158" w:lineRule="exact"/>
        <w:rPr>
          <w:sz w:val="20"/>
          <w:szCs w:val="20"/>
          <w:color w:val="auto"/>
        </w:rPr>
      </w:pPr>
    </w:p>
    <w:p>
      <w:pPr>
        <w:ind w:left="5240" w:hanging="178"/>
        <w:spacing w:after="0"/>
        <w:tabs>
          <w:tab w:leader="none" w:pos="52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shall be binding upon and inure to the benefit of the parties hereto and their respective successors and permitted assigns. Neither party may assign this Amendment or any of its rights, interests, or obligations hereunder without the prior written approval of the other party hereto.</w:t>
      </w:r>
    </w:p>
    <w:p>
      <w:pPr>
        <w:spacing w:after="0" w:line="158" w:lineRule="exact"/>
        <w:rPr>
          <w:sz w:val="20"/>
          <w:szCs w:val="20"/>
          <w:color w:val="auto"/>
        </w:rPr>
      </w:pPr>
    </w:p>
    <w:p>
      <w:pPr>
        <w:ind w:left="5420" w:hanging="188"/>
        <w:spacing w:after="0"/>
        <w:tabs>
          <w:tab w:leader="none" w:pos="5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notice to be given by either Party to the other Party pursuant to this Amendment shall be in writing and addressed to the other Party at its address as provided under the MSA.</w:t>
      </w:r>
    </w:p>
    <w:p>
      <w:pPr>
        <w:spacing w:after="0" w:line="158" w:lineRule="exact"/>
        <w:rPr>
          <w:sz w:val="20"/>
          <w:szCs w:val="20"/>
          <w:color w:val="auto"/>
        </w:rPr>
      </w:pPr>
    </w:p>
    <w:p>
      <w:pPr>
        <w:ind w:left="5080" w:hanging="171"/>
        <w:spacing w:after="0"/>
        <w:tabs>
          <w:tab w:leader="none" w:pos="508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will be governed, construed, and enforced in accordance with the Laws of the State of Delaware without giving effect to any choice or conflict of law provision or rule that would require or permit the application of the Laws of any jurisdiction other than those of the State of Delaware.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suit, action, or proceeding arising out of or related to this Amendment shall be instituted exclusively in the federal courts of the United States or the courts of the State of Delaware in each case located in the city of Wilmington and county of New Castle. The Parties consent to the exclusive jurisdiction of the courts of the State of Delaware in connection with any lawsuit, action or proceeding arising out of or relating to this Amendment.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hereby waives and agrees not to assert, by way of motion, as a defense or otherwise, in any action under this Amendment, any claim (i) that it is not personally subject to the jurisdiction of the above-named courts, (ii) that such action is brought in an inconvenient forum, (iii) that it is immune from any legal process with respect to itself or its property, (iv) that the venue of the suit, action of proceeding is improper, or (v) that this Amendment or the subject matter hereof may not be enforced in or by such courts.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and unconditionally waives any right it may have to a trial by jury in respect of any legal action arising out of or relating to this Amendment or the transactions contemplated hereby.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5420" w:hanging="188"/>
        <w:spacing w:after="0"/>
        <w:tabs>
          <w:tab w:leader="none" w:pos="5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action, delay, or failure to act by a Party shall constitute a waiver of any right of that Party under this Amendment except as specifically agreed to in writing and signed by an authorized signatory of the Party providing the waiver.</w:t>
      </w:r>
    </w:p>
    <w:p>
      <w:pPr>
        <w:spacing w:after="0" w:line="158" w:lineRule="exact"/>
        <w:rPr>
          <w:sz w:val="20"/>
          <w:szCs w:val="20"/>
          <w:color w:val="auto"/>
        </w:rPr>
      </w:pPr>
    </w:p>
    <w:p>
      <w:pPr>
        <w:ind w:left="5280" w:hanging="273"/>
        <w:spacing w:after="0"/>
        <w:tabs>
          <w:tab w:leader="none" w:pos="528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Should any provision of this Amendment become or be held to be legally unenforceable, no other provision of this Amendment shall be affected, and this Amendment shall be construed as if the Amendment had never included the unenforceable provision.</w:t>
      </w:r>
    </w:p>
    <w:p>
      <w:pPr>
        <w:spacing w:after="0" w:line="158" w:lineRule="exact"/>
        <w:rPr>
          <w:sz w:val="20"/>
          <w:szCs w:val="20"/>
          <w:color w:val="auto"/>
        </w:rPr>
      </w:pPr>
    </w:p>
    <w:p>
      <w:pPr>
        <w:ind w:left="5360" w:hanging="258"/>
        <w:spacing w:after="0"/>
        <w:tabs>
          <w:tab w:leader="none" w:pos="53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stated otherwise, the rights and remedies herein provided are cumulative and not exclusive of any rights or remedies provided to the Parties in equity or by Law.</w:t>
      </w:r>
    </w:p>
    <w:p>
      <w:pPr>
        <w:spacing w:after="0" w:line="158" w:lineRule="exact"/>
        <w:rPr>
          <w:sz w:val="20"/>
          <w:szCs w:val="20"/>
          <w:color w:val="auto"/>
        </w:rPr>
      </w:pPr>
    </w:p>
    <w:p>
      <w:pPr>
        <w:ind w:left="5040" w:hanging="262"/>
        <w:spacing w:after="0"/>
        <w:tabs>
          <w:tab w:leader="none" w:pos="50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together with the MSA and that certain Software as a Service (SaaS) Agreement, dated as of November 13, 2024, constitute the entire agreement between the Parties relating to the subject matter hereof and supersedes any prior or contemporaneous negotiations or agreements, whether oral or written, related to this subject matter. Any modifications or changes will not be effective unless in writing and signed by an authorized officer of Artemis and Brag. Each Party agrees that it has not relied on any representations or promises of the other Party other than those contained herein. In the event of any conflict or inconsistency between this Amendment, the terms of this Amendment shall control and prevail.</w:t>
      </w:r>
    </w:p>
    <w:p>
      <w:pPr>
        <w:spacing w:after="0" w:line="179" w:lineRule="exact"/>
        <w:rPr>
          <w:sz w:val="20"/>
          <w:szCs w:val="20"/>
          <w:color w:val="auto"/>
        </w:rPr>
      </w:pPr>
    </w:p>
    <w:p>
      <w:pPr>
        <w:ind w:left="4240" w:hanging="272"/>
        <w:spacing w:after="0"/>
        <w:tabs>
          <w:tab w:leader="none" w:pos="42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and Electronic Signature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may be executed and delivered in any number of counterparts (including by facsimile, email or other similar electronic means), each of which when so executed and delivered shall be deemed to be an original and all of which together shall constitute one and the same instrument.</w:t>
      </w:r>
    </w:p>
    <w:p>
      <w:pPr>
        <w:spacing w:after="0" w:line="158" w:lineRule="exact"/>
        <w:rPr>
          <w:sz w:val="20"/>
          <w:szCs w:val="20"/>
          <w:color w:val="auto"/>
        </w:rPr>
      </w:pPr>
    </w:p>
    <w:p>
      <w:pPr>
        <w:ind w:left="5200" w:hanging="273"/>
        <w:spacing w:after="0"/>
        <w:tabs>
          <w:tab w:leader="none" w:pos="520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specifically set forth in this Amendment, nothing set forth herein shall be deemed to modify any provision of the MSA.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each having the authority to execute and bind its Party, have executed this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Date.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w:t>
      </w:r>
      <w:r>
        <w:rPr>
          <w:rFonts w:ascii="Times New Roman" w:cs="Times New Roman" w:eastAsia="Times New Roman" w:hAnsi="Times New Roman"/>
          <w:sz w:val="17"/>
          <w:szCs w:val="17"/>
          <w:color w:val="auto"/>
        </w:rPr>
        <w: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Lavell Juan Malloy, II</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ARTEMIS AVE LLC</w:t>
      </w:r>
    </w:p>
    <w:p>
      <w:pPr>
        <w:spacing w:after="0" w:line="227"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Gregory Butler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Gregory Butler</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2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color w:val="auto"/>
        </w:rPr>
        <w:t>[Signature Page to Brag House – Amendment to Artemis Master Services Agreement]</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320" w:top="900" w:right="107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EVEMETA COMPRESSION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SOFTWARE AS A SERVICE (SaaS) AGREEMENT</w:t>
      </w:r>
    </w:p>
    <w:p>
      <w:pPr>
        <w:spacing w:after="0" w:line="203"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This Amendment to the Software as a Service (“</w:t>
      </w:r>
      <w:r>
        <w:rPr>
          <w:rFonts w:ascii="Times New Roman" w:cs="Times New Roman" w:eastAsia="Times New Roman" w:hAnsi="Times New Roman"/>
          <w:sz w:val="18"/>
          <w:szCs w:val="18"/>
          <w:b w:val="1"/>
          <w:bCs w:val="1"/>
          <w:color w:val="auto"/>
        </w:rPr>
        <w:t>SaaS Agreement</w:t>
      </w:r>
      <w:r>
        <w:rPr>
          <w:rFonts w:ascii="Times New Roman" w:cs="Times New Roman" w:eastAsia="Times New Roman" w:hAnsi="Times New Roman"/>
          <w:sz w:val="18"/>
          <w:szCs w:val="18"/>
          <w:color w:val="auto"/>
        </w:rPr>
        <w:t>”) Agreement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May 12, 2025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between Brag House Holdings, Inc. (“</w:t>
      </w:r>
      <w:r>
        <w:rPr>
          <w:rFonts w:ascii="Times New Roman" w:cs="Times New Roman" w:eastAsia="Times New Roman" w:hAnsi="Times New Roman"/>
          <w:sz w:val="18"/>
          <w:szCs w:val="18"/>
          <w:b w:val="1"/>
          <w:bCs w:val="1"/>
          <w:color w:val="auto"/>
        </w:rPr>
        <w:t>Brag</w:t>
      </w:r>
      <w:r>
        <w:rPr>
          <w:rFonts w:ascii="Times New Roman" w:cs="Times New Roman" w:eastAsia="Times New Roman" w:hAnsi="Times New Roman"/>
          <w:sz w:val="18"/>
          <w:szCs w:val="18"/>
          <w:color w:val="auto"/>
        </w:rPr>
        <w:t>”), a Delaware corporation, with its registered office at 45 Park Street, Montclair, NJ 07042,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EVEMeta LLC, (“</w:t>
      </w:r>
      <w:r>
        <w:rPr>
          <w:rFonts w:ascii="Times New Roman" w:cs="Times New Roman" w:eastAsia="Times New Roman" w:hAnsi="Times New Roman"/>
          <w:sz w:val="18"/>
          <w:szCs w:val="18"/>
          <w:b w:val="1"/>
          <w:bCs w:val="1"/>
          <w:color w:val="auto"/>
        </w:rPr>
        <w:t>EVEMeta</w:t>
      </w:r>
      <w:r>
        <w:rPr>
          <w:rFonts w:ascii="Times New Roman" w:cs="Times New Roman" w:eastAsia="Times New Roman" w:hAnsi="Times New Roman"/>
          <w:sz w:val="18"/>
          <w:szCs w:val="18"/>
          <w:color w:val="auto"/>
        </w:rPr>
        <w:t>”), a Delaware limited liability company, with its headquarters at 1235 Kensington Avenue, Los Angeles, CA 90019. Each of Brag and EVEMeta may be referred to individually hereinafter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EVEMeta is an image and video compression technology company that provides access to the commercial compression offered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EVEMeta to its customers;</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Brag is a company focused on video gaming and creating social communities around video games; and</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Brag and EVEMeta entered into a Compression SaaS Agreement, dated as of November 13, 2024, pursuant to which EVEMeta agreed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software development and related services to Brag as described therein (the “</w:t>
      </w:r>
      <w:r>
        <w:rPr>
          <w:rFonts w:ascii="Times New Roman" w:cs="Times New Roman" w:eastAsia="Times New Roman" w:hAnsi="Times New Roman"/>
          <w:sz w:val="18"/>
          <w:szCs w:val="18"/>
          <w:b w:val="1"/>
          <w:bCs w:val="1"/>
          <w:color w:val="auto"/>
        </w:rPr>
        <w:t>SaaS</w:t>
      </w:r>
      <w:r>
        <w:rPr>
          <w:rFonts w:ascii="Times New Roman" w:cs="Times New Roman" w:eastAsia="Times New Roman" w:hAnsi="Times New Roman"/>
          <w:sz w:val="18"/>
          <w:szCs w:val="18"/>
          <w:color w:val="auto"/>
        </w:rPr>
        <w:t>”), which the Parties now desire to amend; and</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hereby desire to amend the SaaS Agreement upon the terms and subject to the conditions of this Amendment.</w:t>
      </w:r>
    </w:p>
    <w:p>
      <w:pPr>
        <w:spacing w:after="0" w:line="2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premises and mutual covenants contained herein,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of which is hereby acknowledged, the Parties agree as follows:</w:t>
      </w:r>
    </w:p>
    <w:p>
      <w:pPr>
        <w:spacing w:after="0" w:line="155" w:lineRule="exact"/>
        <w:rPr>
          <w:sz w:val="20"/>
          <w:szCs w:val="20"/>
          <w:color w:val="auto"/>
        </w:rPr>
      </w:pPr>
    </w:p>
    <w:p>
      <w:pPr>
        <w:ind w:left="5280" w:hanging="188"/>
        <w:spacing w:after="0"/>
        <w:tabs>
          <w:tab w:leader="none" w:pos="52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Capitalized terms used herein but not otherwise defined shall have the respective meanings set forth in the SaaS Agreement.</w:t>
      </w:r>
    </w:p>
    <w:p>
      <w:pPr>
        <w:spacing w:after="0" w:line="221" w:lineRule="exact"/>
        <w:rPr>
          <w:sz w:val="20"/>
          <w:szCs w:val="20"/>
          <w:color w:val="auto"/>
        </w:rPr>
      </w:pPr>
    </w:p>
    <w:p>
      <w:pPr>
        <w:ind w:left="4320" w:hanging="181"/>
        <w:spacing w:after="0"/>
        <w:tabs>
          <w:tab w:leader="none" w:pos="432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the SaaS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u w:val="single" w:color="auto"/>
          <w:color w:val="auto"/>
        </w:rPr>
        <w:t>Elimination Guarantee of Sale Price Delta</w:t>
      </w:r>
      <w:r>
        <w:rPr>
          <w:rFonts w:ascii="Times New Roman" w:cs="Times New Roman" w:eastAsia="Times New Roman" w:hAnsi="Times New Roman"/>
          <w:sz w:val="18"/>
          <w:szCs w:val="18"/>
          <w:color w:val="auto"/>
        </w:rPr>
        <w:t>. Section 4 of the SaaS Agreement shall be amended by deletion of the reference and elimination of the obligation in subsection (a) and (b) thereof and elsewhere throughout the SaaS Agreement relating to Brag’s payment to EVEMeta of the difference between the actual price at which EVEMeta sells the shares of Brag Common Stock issued to it under the SaaS Agreement and the Target Sale Price of $4.00 per share, it being expressly understood that Brag shall have no such obligation following the Amendment Date with respect to any sale of Brag Common Stock by EVEMeta. Notwithstanding the foregoing, in consideration for the elimination of the $4.00 per share guarantee, Brag agrees to pay EVEMeta $25,000 within five business days of signing this Amendment. EVEMeta’s obligation to sell its Brag Common Stock in good faith bona fide arms-length third-party transactions brokered by a registered broker-dealer based on the then-quoted Nasdaq price shall remain in place and apply to any and all of EVEMeta’s sales of Brag Common Stock issued to it under the SaaS Agreement.</w:t>
      </w:r>
    </w:p>
    <w:p>
      <w:pPr>
        <w:spacing w:after="0" w:line="188" w:lineRule="exact"/>
        <w:rPr>
          <w:sz w:val="20"/>
          <w:szCs w:val="20"/>
          <w:color w:val="auto"/>
        </w:rPr>
      </w:pPr>
    </w:p>
    <w:p>
      <w:pPr>
        <w:ind w:left="3460" w:hanging="185"/>
        <w:spacing w:after="0"/>
        <w:tabs>
          <w:tab w:leader="none" w:pos="34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Continued Status as Independent Contractor Relationship.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expressly understood that EVEMeta’s relationship with Brag remains that of an independent contractor.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ind w:left="4000" w:hanging="189"/>
        <w:spacing w:after="0"/>
        <w:tabs>
          <w:tab w:leader="none" w:pos="400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Representations and Warranties; Covenants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EVEMeta reiterates the following representations and warranties to Brag, it being understood that no specific representation or warranty will limit the generality or applicability of a more general representation or warranty:</w:t>
      </w:r>
    </w:p>
    <w:p>
      <w:pPr>
        <w:spacing w:after="0" w:line="162" w:lineRule="exact"/>
        <w:rPr>
          <w:sz w:val="20"/>
          <w:szCs w:val="20"/>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is made with EVEMeta in reliance upon EVEMeta’s representation to Brag, which, by execution hereof, EVEMeta hereby confirms that the Stock Consideration issued to EVEMeta has been acquired by EVEMeta for EVEMeta’s own account, not as a nominee or agent, and not with a view to the resale or distribution of any part thereof. By executing this Amendment, EVEMeta represents that EVEMeta does not have any contract, undertaking, agreement or arrangement with any person to sell, transfer or grant participations to any person or to any third parties, with respect to the Stock Consideration.</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EVEMeta was given the opportunity to ask questions and receive answers from Brag regarding the terms and conditions of the acquisition of the Stock Consideration and the business, properties, prospects, and financial condition of Brag and its affiliates, and to obtain additional information (to the extent Brag and its affiliates possessed such information or could acquire it without unreasonable effort or expense) necessary to verify the accuracy of any information furnished to EVEMeta or to which EVEMeta had access.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EVEMeta is an “accredited investor” as such term is defined in Rule 501 promulgated under the Securities Act.</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Consideration may only be disposed of in compliance with state and federal securities Laws. In connection with any transfer of Stock Consideration other than pursuant to an effective registration statement or Rule 144, Brag may require the transferor thereof to provide to Brag an opinion of counsel selected by the transferor and reasonably acceptable to Brag, the form and substance of which opinion shall be reasonably satisfactory to Brag, to the effect that such transfer does not require registration of such transferred Stock Consideration under the Securities Act. As a condition of transfer, any such transferee shall agree in writing to be bound by the terms of this Amendment and shall have the rights and obligations of EVEMeta under this Amendment.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EVEMeta acknowledges that the following legend will remain on each certificate, if certificated, of each share of Brag Common Stock forming any part of the Stock Consideration until such shares of Brag Common Stock are eligible for sale without restriction and without compliance with the volume, manner of sale, current public information, or filing of Form 144 requirements under Rule 144 promulgated under the Securities Act of 1933, as amended, as follows:</w:t>
      </w:r>
    </w:p>
    <w:p>
      <w:pPr>
        <w:spacing w:after="0" w:line="17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SECURITY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SECURITY MAY BE PLEDGED IN CONNECTION WITH A BONA FIDE MARGIN ACCOUNT WITH A REGISTERED BROKER- DEALER OR OTHER LOAN WITH A FINANCIAL INSTITUTION THAT IS AN “ACCREDITED INVESTOR” AS DEFINED IN RULE 501(a) UNDER THE SECURITIES ACT OR OTHER LOAN SECURED BY SUCH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1" w:name="page52"/>
    <w:bookmarkEnd w:id="51"/>
    <w:p>
      <w:pPr>
        <w:ind w:left="4820" w:hanging="182"/>
        <w:spacing w:after="0"/>
        <w:tabs>
          <w:tab w:leader="none" w:pos="48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shall be effective as of the Amendment Date and, unless terminated earlier pursuant to any hereof or under the provisions of the SaaS Agreement, will continue in effect as provided under the SaaS Agreement.</w:t>
      </w:r>
    </w:p>
    <w:p>
      <w:pPr>
        <w:spacing w:after="0" w:line="158" w:lineRule="exact"/>
        <w:rPr>
          <w:sz w:val="20"/>
          <w:szCs w:val="20"/>
          <w:color w:val="auto"/>
        </w:rPr>
      </w:pPr>
    </w:p>
    <w:p>
      <w:pPr>
        <w:ind w:left="5240" w:hanging="178"/>
        <w:spacing w:after="0"/>
        <w:tabs>
          <w:tab w:leader="none" w:pos="52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shall be binding upon and inure to the benefit of the parties hereto and their respective successors and permitted assigns. Neither party may assign this Amendment or any of its rights, interests, or obligations hereunder without the prior written approval of the other party hereto.</w:t>
      </w:r>
    </w:p>
    <w:p>
      <w:pPr>
        <w:spacing w:after="0" w:line="158" w:lineRule="exact"/>
        <w:rPr>
          <w:sz w:val="20"/>
          <w:szCs w:val="20"/>
          <w:color w:val="auto"/>
        </w:rPr>
      </w:pPr>
    </w:p>
    <w:p>
      <w:pPr>
        <w:ind w:left="5420" w:hanging="188"/>
        <w:spacing w:after="0"/>
        <w:tabs>
          <w:tab w:leader="none" w:pos="54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Any notice to be given by either Party to the other Party pursuant to this Amendment shall be in writing and addressed to the other Party at its address as provided under the SaaS Agreement.</w:t>
      </w:r>
    </w:p>
    <w:p>
      <w:pPr>
        <w:spacing w:after="0" w:line="158" w:lineRule="exact"/>
        <w:rPr>
          <w:sz w:val="20"/>
          <w:szCs w:val="20"/>
          <w:color w:val="auto"/>
        </w:rPr>
      </w:pPr>
    </w:p>
    <w:p>
      <w:pPr>
        <w:ind w:left="5080" w:hanging="171"/>
        <w:spacing w:after="0"/>
        <w:tabs>
          <w:tab w:leader="none" w:pos="5080" w:val="left"/>
        </w:tabs>
        <w:numPr>
          <w:ilvl w:val="1"/>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will be governed, construed, and enforced in accordance with the Laws of the State of Delaware without giving effect to any choice or conflict of law provision or rule that would require or permit the application of the Laws of any jurisdiction other than those of the State of Delaware.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legal suit, action, or proceeding arising out of or related to this Amendment shall be instituted exclusively in the federal courts of the United States or the courts of the State of Delaware in each case located in the city of Wilmington and county of New Castle. The Parties consent to the exclusive jurisdiction of the courts of the State of Delaware in connection with any lawsuit, action or proceeding arising out of or relating to this Amendment.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each Party hereby waives and agrees not to assert, by way of motion, as a defense or otherwise, in any action under this Amendment, any claim (i) that it is not personally subject to the jurisdiction of the above-named courts, (ii) that such action is brought in an inconvenient forum, (iii) that it is immune from any legal process with respect to itself or its property, (iv) that the venue of the suit, action of proceeding is improper, or (v) that this Amendment or the subject matter hereof may not be enforced in or by such courts.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irrevocably and unconditionally waives any right it may have to a trial by jury in respect of any legal action arising out of or relating to this Amendment or the transactions contemplated hereby.</w:t>
      </w:r>
    </w:p>
    <w:p>
      <w:pPr>
        <w:spacing w:after="0" w:line="157" w:lineRule="exact"/>
        <w:rPr>
          <w:rFonts w:ascii="Times New Roman" w:cs="Times New Roman" w:eastAsia="Times New Roman" w:hAnsi="Times New Roman"/>
          <w:sz w:val="18"/>
          <w:szCs w:val="18"/>
          <w:color w:val="auto"/>
        </w:rPr>
      </w:pPr>
    </w:p>
    <w:p>
      <w:pPr>
        <w:ind w:left="5420" w:hanging="188"/>
        <w:spacing w:after="0"/>
        <w:tabs>
          <w:tab w:leader="none" w:pos="5420" w:val="left"/>
        </w:tabs>
        <w:numPr>
          <w:ilvl w:val="2"/>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No action, delay, or failure to act by a Party shall constitute a waiver of any right of that Party under this Amendment except as specifically agreed to in writing and signed by an authorized signatory of the Party providing the waiver.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ind w:left="5280" w:hanging="273"/>
        <w:spacing w:after="0"/>
        <w:tabs>
          <w:tab w:leader="none" w:pos="52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Should any provision of this Amendment become or be held to be legally unenforceable, no other provision of this Amendment shall be affected, and this Amendment shall be construed as if the Amendment had never included the unenforceable provision.</w:t>
      </w:r>
    </w:p>
    <w:p>
      <w:pPr>
        <w:spacing w:after="0" w:line="158" w:lineRule="exact"/>
        <w:rPr>
          <w:sz w:val="20"/>
          <w:szCs w:val="20"/>
          <w:color w:val="auto"/>
        </w:rPr>
      </w:pPr>
    </w:p>
    <w:p>
      <w:pPr>
        <w:ind w:left="5360" w:hanging="258"/>
        <w:spacing w:after="0"/>
        <w:tabs>
          <w:tab w:leader="none" w:pos="53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Remedies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Except as stated otherwise, the rights and remedies herein provided are cumulative and not exclusive of any rights or remedies provided to the Parties in equity or by Law.</w:t>
      </w:r>
    </w:p>
    <w:p>
      <w:pPr>
        <w:spacing w:after="0" w:line="158" w:lineRule="exact"/>
        <w:rPr>
          <w:sz w:val="20"/>
          <w:szCs w:val="20"/>
          <w:color w:val="auto"/>
        </w:rPr>
      </w:pPr>
    </w:p>
    <w:p>
      <w:pPr>
        <w:ind w:left="5040" w:hanging="262"/>
        <w:spacing w:after="0"/>
        <w:tabs>
          <w:tab w:leader="none" w:pos="50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Amendment, together with the SaaS Agreement and that certain Master Services Agreement, dated as of November 13, 2024, constitute the entire agreement between the Parties relating to the subject matter hereof and supersedes any prior or contemporaneous negotiations or agreements, whether oral or written, related to this subject matter. Any modifications or changes will not be effective unless in writing and signed by an authorized officer of EVEMeta and Brag. Each Party agrees that it has not relied on any representations or promises of the other Party other than those contained herein. In the event of any conflict or inconsistency between this Amendment, the terms of this Amendment shall control and prevail.</w:t>
      </w:r>
    </w:p>
    <w:p>
      <w:pPr>
        <w:spacing w:after="0" w:line="179" w:lineRule="exact"/>
        <w:rPr>
          <w:sz w:val="20"/>
          <w:szCs w:val="20"/>
          <w:color w:val="auto"/>
        </w:rPr>
      </w:pPr>
    </w:p>
    <w:p>
      <w:pPr>
        <w:ind w:left="4240" w:hanging="272"/>
        <w:spacing w:after="0"/>
        <w:tabs>
          <w:tab w:leader="none" w:pos="42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 and Electronic Signature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Amendment may be executed and delivered in any number of counterparts (including by facsimile, email or other similar electronic means), each of which when so executed and delivered shall be deemed to be an original and all of which together shall constitute one and the same instrument.</w:t>
      </w:r>
    </w:p>
    <w:p>
      <w:pPr>
        <w:spacing w:after="0" w:line="158" w:lineRule="exact"/>
        <w:rPr>
          <w:sz w:val="20"/>
          <w:szCs w:val="20"/>
          <w:color w:val="auto"/>
        </w:rPr>
      </w:pPr>
    </w:p>
    <w:p>
      <w:pPr>
        <w:ind w:left="5200" w:hanging="273"/>
        <w:spacing w:after="0"/>
        <w:tabs>
          <w:tab w:leader="none" w:pos="5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specifically set forth in this Amendment, nothing set forth herein shall be deemed to modify any provision of the SaaS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each having the authority to execute and bind its Party, have executed this Amendment as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Date.</w:t>
      </w:r>
    </w:p>
    <w:p>
      <w:pPr>
        <w:spacing w:after="0" w:line="15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BRAG HOUSE HOLDINGS, INC.</w:t>
      </w: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Lavell Juan Malloy, II</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EVEMETA, LLC</w:t>
      </w:r>
    </w:p>
    <w:p>
      <w:pPr>
        <w:spacing w:after="0" w:line="200" w:lineRule="exact"/>
        <w:rPr>
          <w:sz w:val="20"/>
          <w:szCs w:val="20"/>
          <w:color w:val="auto"/>
        </w:rPr>
      </w:pPr>
    </w:p>
    <w:p>
      <w:pPr>
        <w:spacing w:after="0" w:line="2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Martha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Print Name: Martha Chang</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Co-Founder</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Brag House – Amendment to EVEMeta Compression SaaS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b w:val="1"/>
          <w:bCs w:val="1"/>
          <w:color w:val="auto"/>
        </w:rPr>
        <w:t>Exhibit 31.1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Lavell Juan Malloy, II, certify that:</w:t>
      </w:r>
    </w:p>
    <w:p>
      <w:pPr>
        <w:spacing w:after="0" w:line="225"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March 31,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Holdings,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3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Chetan Jindal, certify that:</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period ended on March 31, 2025 of Brag House Holdings,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Brag House Holding, Inc.’s most recent evaluation of internal control over financial reporting, to the registrant’s auditors and the audit committee of the registrant’s board of directors (of persons performing the equivalent functions):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small business issuer’s internal control over financial reporting.</w:t>
      </w:r>
    </w:p>
    <w:p>
      <w:pPr>
        <w:spacing w:after="0" w:line="160"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8" w:right="339" w:bottom="1440" w:gutter="0" w:footer="0" w:header="0"/>
        </w:sectPr>
      </w:pPr>
    </w:p>
    <w:bookmarkStart w:id="56" w:name="page57"/>
    <w:bookmarkEnd w:id="56"/>
    <w:p>
      <w:pPr>
        <w:ind w:left="10120"/>
        <w:spacing w:after="0"/>
        <w:rPr>
          <w:sz w:val="20"/>
          <w:szCs w:val="20"/>
          <w:color w:val="auto"/>
        </w:rPr>
      </w:pPr>
      <w:r>
        <w:rPr>
          <w:rFonts w:ascii="Times New Roman" w:cs="Times New Roman" w:eastAsia="Times New Roman" w:hAnsi="Times New Roman"/>
          <w:sz w:val="21"/>
          <w:szCs w:val="21"/>
          <w:b w:val="1"/>
          <w:bCs w:val="1"/>
          <w:color w:val="auto"/>
        </w:rPr>
        <w:t>Exhibit 32.1</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March 31, 2025 (the “Report”) I, Lavell Juan Malloy, II, Chief Executive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Lavell Juan Malloy,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Lavell Juan Malloy, II</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240"/>
          </w:cols>
          <w:pgMar w:left="320" w:top="10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2"/>
          <w:szCs w:val="22"/>
          <w:b w:val="1"/>
          <w:bCs w:val="1"/>
          <w:color w:val="auto"/>
        </w:rPr>
        <w:t>Exhibit 32.2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Brag House Holdings, Inc. (the “Company”) on Form 10-Q for the period ended March 31, 2025 (the “Report”) I, Chetan Jindal, Chief Financial Officer of the Company, certify, pursuant to 18 USC Section 1350, as adopted pursuant to Section 906 of the Sarbanes-Oxley Act of 2002, that to the best of my knowledge and belief:</w:t>
      </w:r>
    </w:p>
    <w:p>
      <w:pPr>
        <w:spacing w:after="0" w:line="176" w:lineRule="exact"/>
        <w:rPr>
          <w:sz w:val="20"/>
          <w:szCs w:val="20"/>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3"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July 18,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Chetan Jindal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18415</wp:posOffset>
            </wp:positionV>
            <wp:extent cx="2562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Chetan Jindal</w:t>
      </w:r>
    </w:p>
    <w:p>
      <w:pPr>
        <w:spacing w:after="0" w:line="23"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Letter"/>
      <w:start w:val="1"/>
    </w:lvl>
    <w:lvl w:ilvl="1">
      <w:lvlJc w:val="left"/>
      <w:lvlText w:val="%2."/>
      <w:numFmt w:val="decimal"/>
      <w:start w:val="2"/>
    </w:lvl>
  </w:abstractNum>
  <w:abstractNum w:abstractNumId="6">
    <w:nsid w:val="6763845E"/>
    <w:multiLevelType w:val="hybridMultilevel"/>
    <w:lvl w:ilvl="0">
      <w:lvlJc w:val="left"/>
      <w:lvlText w:val="(%1)"/>
      <w:numFmt w:val="lowerLetter"/>
      <w:start w:val="1"/>
    </w:lvl>
    <w:lvl w:ilvl="1">
      <w:lvlJc w:val="left"/>
      <w:lvlText w:val="%2"/>
      <w:numFmt w:val="decimal"/>
      <w:start w:val="1"/>
    </w:lvl>
  </w:abstractNum>
  <w:abstractNum w:abstractNumId="7">
    <w:nsid w:val="75A2A8D4"/>
    <w:multiLevelType w:val="hybridMultilevel"/>
    <w:lvl w:ilvl="0">
      <w:lvlJc w:val="left"/>
      <w:lvlText w:val="%1."/>
      <w:numFmt w:val="decimal"/>
      <w:start w:val="3"/>
    </w:lvl>
  </w:abstractNum>
  <w:abstractNum w:abstractNumId="8">
    <w:nsid w:val="8EDBDAB"/>
    <w:multiLevelType w:val="hybridMultilevel"/>
    <w:lvl w:ilvl="0">
      <w:lvlJc w:val="left"/>
      <w:lvlText w:val="%1."/>
      <w:numFmt w:val="decimal"/>
      <w:start w:val="4"/>
    </w:lvl>
  </w:abstractNum>
  <w:abstractNum w:abstractNumId="9">
    <w:nsid w:val="79838CB2"/>
    <w:multiLevelType w:val="hybridMultilevel"/>
    <w:lvl w:ilvl="0">
      <w:lvlJc w:val="left"/>
      <w:lvlText w:val="(%1)"/>
      <w:numFmt w:val="lowerLetter"/>
      <w:start w:val="1"/>
    </w:lvl>
  </w:abstractNum>
  <w:abstractNum w:abstractNumId="10">
    <w:nsid w:val="4353D0CD"/>
    <w:multiLevelType w:val="hybridMultilevel"/>
    <w:lvl w:ilvl="0">
      <w:lvlJc w:val="left"/>
      <w:lvlText w:val="(%1)"/>
      <w:numFmt w:val="lowerLetter"/>
      <w:start w:val="6"/>
    </w:lvl>
    <w:lvl w:ilvl="1">
      <w:lvlJc w:val="left"/>
      <w:lvlText w:val="%2."/>
      <w:numFmt w:val="decimal"/>
      <w:start w:val="5"/>
    </w:lvl>
  </w:abstractNum>
  <w:abstractNum w:abstractNumId="11">
    <w:nsid w:val="B03E0C6"/>
    <w:multiLevelType w:val="hybridMultilevel"/>
    <w:lvl w:ilvl="0">
      <w:lvlJc w:val="left"/>
      <w:lvlText w:val="%1."/>
      <w:numFmt w:val="decimal"/>
      <w:start w:val="6"/>
    </w:lvl>
  </w:abstractNum>
  <w:abstractNum w:abstractNumId="12">
    <w:nsid w:val="189A769B"/>
    <w:multiLevelType w:val="hybridMultilevel"/>
    <w:lvl w:ilvl="0">
      <w:lvlJc w:val="left"/>
      <w:lvlText w:val="%1."/>
      <w:numFmt w:val="decimal"/>
      <w:start w:val="7"/>
    </w:lvl>
  </w:abstractNum>
  <w:abstractNum w:abstractNumId="13">
    <w:nsid w:val="54E49EB4"/>
    <w:multiLevelType w:val="hybridMultilevel"/>
    <w:lvl w:ilvl="0">
      <w:lvlJc w:val="left"/>
      <w:lvlText w:val="%1"/>
      <w:numFmt w:val="lowerLetter"/>
      <w:start w:val="1"/>
    </w:lvl>
    <w:lvl w:ilvl="1">
      <w:lvlJc w:val="left"/>
      <w:lvlText w:val="%2."/>
      <w:numFmt w:val="decimal"/>
      <w:start w:val="8"/>
    </w:lvl>
  </w:abstractNum>
  <w:abstractNum w:abstractNumId="14">
    <w:nsid w:val="71F32454"/>
    <w:multiLevelType w:val="hybridMultilevel"/>
    <w:lvl w:ilvl="0">
      <w:lvlJc w:val="left"/>
      <w:lvlText w:val="(%1)"/>
      <w:numFmt w:val="lowerLetter"/>
      <w:start w:val="1"/>
    </w:lvl>
    <w:lvl w:ilvl="1">
      <w:lvlJc w:val="left"/>
      <w:lvlText w:val="%2"/>
      <w:numFmt w:val="decimal"/>
      <w:start w:val="1"/>
    </w:lvl>
  </w:abstractNum>
  <w:abstractNum w:abstractNumId="15">
    <w:nsid w:val="2CA88611"/>
    <w:multiLevelType w:val="hybridMultilevel"/>
    <w:lvl w:ilvl="0">
      <w:lvlJc w:val="left"/>
      <w:lvlText w:val="%1."/>
      <w:numFmt w:val="decimal"/>
      <w:start w:val="9"/>
    </w:lvl>
  </w:abstractNum>
  <w:abstractNum w:abstractNumId="16">
    <w:nsid w:val="836C40E"/>
    <w:multiLevelType w:val="hybridMultilevel"/>
    <w:lvl w:ilvl="0">
      <w:lvlJc w:val="left"/>
      <w:lvlText w:val="%1."/>
      <w:numFmt w:val="decimal"/>
      <w:start w:val="10"/>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decimal"/>
      <w:start w:val="14"/>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1."/>
      <w:numFmt w:val="decimal"/>
      <w:start w:val="3"/>
    </w:lvl>
  </w:abstractNum>
  <w:abstractNum w:abstractNumId="24">
    <w:nsid w:val="22221A70"/>
    <w:multiLevelType w:val="hybridMultilevel"/>
    <w:lvl w:ilvl="0">
      <w:lvlJc w:val="left"/>
      <w:lvlText w:val="%1."/>
      <w:numFmt w:val="decimal"/>
      <w:start w:val="4"/>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5"/>
    </w:lvl>
  </w:abstractNum>
  <w:abstractNum w:abstractNumId="27">
    <w:nsid w:val="614FD4A1"/>
    <w:multiLevelType w:val="hybridMultilevel"/>
    <w:lvl w:ilvl="0">
      <w:lvlJc w:val="left"/>
      <w:lvlText w:val="%1."/>
      <w:numFmt w:val="decimal"/>
      <w:start w:val="6"/>
    </w:lvl>
  </w:abstractNum>
  <w:abstractNum w:abstractNumId="28">
    <w:nsid w:val="419AC241"/>
    <w:multiLevelType w:val="hybridMultilevel"/>
    <w:lvl w:ilvl="0">
      <w:lvlJc w:val="left"/>
      <w:lvlText w:val="%1."/>
      <w:numFmt w:val="decimal"/>
      <w:start w:val="7"/>
    </w:lvl>
  </w:abstractNum>
  <w:abstractNum w:abstractNumId="29">
    <w:nsid w:val="5577F8E1"/>
    <w:multiLevelType w:val="hybridMultilevel"/>
    <w:lvl w:ilvl="0">
      <w:lvlJc w:val="left"/>
      <w:lvlText w:val="%1"/>
      <w:numFmt w:val="lowerLetter"/>
      <w:start w:val="1"/>
    </w:lvl>
    <w:lvl w:ilvl="1">
      <w:lvlJc w:val="left"/>
      <w:lvlText w:val="%2."/>
      <w:numFmt w:val="decimal"/>
      <w:start w:val="8"/>
    </w:lvl>
    <w:lvl w:ilvl="2">
      <w:lvlJc w:val="left"/>
      <w:lvlText w:val="%3"/>
      <w:numFmt w:val="decimal"/>
      <w:start w:val="1"/>
    </w:lvl>
  </w:abstractNum>
  <w:abstractNum w:abstractNumId="30">
    <w:nsid w:val="440BADFC"/>
    <w:multiLevelType w:val="hybridMultilevel"/>
    <w:lvl w:ilvl="0">
      <w:lvlJc w:val="left"/>
      <w:lvlText w:val="(%1)"/>
      <w:numFmt w:val="lowerLetter"/>
      <w:start w:val="1"/>
    </w:lvl>
    <w:lvl w:ilvl="1">
      <w:lvlJc w:val="left"/>
      <w:lvlText w:val="%2"/>
      <w:numFmt w:val="decimal"/>
      <w:start w:val="1"/>
    </w:lvl>
    <w:lvl w:ilvl="2">
      <w:lvlJc w:val="left"/>
      <w:lvlText w:val="%3."/>
      <w:numFmt w:val="decimal"/>
      <w:start w:val="9"/>
    </w:lvl>
  </w:abstractNum>
  <w:abstractNum w:abstractNumId="31">
    <w:nsid w:val="5072367"/>
    <w:multiLevelType w:val="hybridMultilevel"/>
    <w:lvl w:ilvl="0">
      <w:lvlJc w:val="left"/>
      <w:lvlText w:val="%1."/>
      <w:numFmt w:val="decimal"/>
      <w:start w:val="10"/>
    </w:lvl>
  </w:abstractNum>
  <w:abstractNum w:abstractNumId="32">
    <w:nsid w:val="3804823E"/>
    <w:multiLevelType w:val="hybridMultilevel"/>
    <w:lvl w:ilvl="0">
      <w:lvlJc w:val="left"/>
      <w:lvlText w:val="%1."/>
      <w:numFmt w:val="decimal"/>
      <w:start w:val="11"/>
    </w:lvl>
  </w:abstractNum>
  <w:abstractNum w:abstractNumId="33">
    <w:nsid w:val="77465F01"/>
    <w:multiLevelType w:val="hybridMultilevel"/>
    <w:lvl w:ilvl="0">
      <w:lvlJc w:val="left"/>
      <w:lvlText w:val="%1."/>
      <w:numFmt w:val="decimal"/>
      <w:start w:val="12"/>
    </w:lvl>
  </w:abstractNum>
  <w:abstractNum w:abstractNumId="34">
    <w:nsid w:val="7724C67E"/>
    <w:multiLevelType w:val="hybridMultilevel"/>
    <w:lvl w:ilvl="0">
      <w:lvlJc w:val="left"/>
      <w:lvlText w:val="%1."/>
      <w:numFmt w:val="decimal"/>
      <w:start w:val="13"/>
    </w:lvl>
  </w:abstractNum>
  <w:abstractNum w:abstractNumId="35">
    <w:nsid w:val="5C482A97"/>
    <w:multiLevelType w:val="hybridMultilevel"/>
    <w:lvl w:ilvl="0">
      <w:lvlJc w:val="left"/>
      <w:lvlText w:val="%1."/>
      <w:numFmt w:val="decimal"/>
      <w:start w:val="14"/>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50" Type="http://schemas.openxmlformats.org/officeDocument/2006/relationships/hyperlink" Target="http://www.sec.gov/Archives/edgar/data/1903595/000121390024053492/ea020493001ex3-1_brag.htm" TargetMode="External"/><Relationship Id="rId51" Type="http://schemas.openxmlformats.org/officeDocument/2006/relationships/hyperlink" Target="http://www.sec.gov/Archives/edgar/data/1903595/000121390024060509/ea020493002ex3-2_braghouse.htm" TargetMode="External"/><Relationship Id="rId52" Type="http://schemas.openxmlformats.org/officeDocument/2006/relationships/hyperlink" Target="http://www.sec.gov/Archives/edgar/data/1903595/000121390024053492/ea020493001ex3-2_brag.htm" TargetMode="External"/><Relationship Id="rId53" Type="http://schemas.openxmlformats.org/officeDocument/2006/relationships/hyperlink" Target="http://www.sec.gov/Archives/edgar/data/1903595/000121390024053492/ea020493001ex3-3_brag.htm" TargetMode="External"/><Relationship Id="rId54" Type="http://schemas.openxmlformats.org/officeDocument/2006/relationships/hyperlink" Target="http://www.sec.gov/Archives/edgar/data/1903595/000121390025009640/ea020493008ex3-5_brag.htm" TargetMode="External"/><Relationship Id="rId55" Type="http://schemas.openxmlformats.org/officeDocument/2006/relationships/hyperlink" Target="http://www.sec.gov/Archives/edgar/data/1903595/000121390024053492/ea020493001ex3-4_brag.htm" TargetMode="External"/><Relationship Id="rId56" Type="http://schemas.openxmlformats.org/officeDocument/2006/relationships/hyperlink" Target="http://www.sec.gov/Archives/edgar/data/1903595/000121390025012154/ea020493010ex3-7_brag.htm" TargetMode="External"/><Relationship Id="rId57" Type="http://schemas.openxmlformats.org/officeDocument/2006/relationships/hyperlink" Target="https://www.sec.gov/Archives/edgar/data/1903595/000121390025022831/ea023389901ex4-1_braghouse.htm" TargetMode="External"/><Relationship Id="rId58" Type="http://schemas.openxmlformats.org/officeDocument/2006/relationships/hyperlink" Target="https://www.sec.gov/Archives/edgar/data/1903595/000121390025040732/ea023606401ex10-10b_br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2025-07-18T15:29:17Z</dcterms:created>
  <dcterms:modified xsi:type="dcterms:W3CDTF">2025-07-18T15:29:17Z</dcterms:modified>
</cp:coreProperties>
</file>