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808-8k425_brag.htm"/>
      <w:bookmarkStart w:id="1" w:name="ksea02908088k425_brag"/>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5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Brag House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511"/>
            <w:bookmarkEnd w:id="6"/>
            <w:r>
              <w:rPr>
                <w:b/>
                <w:sz w:val="20"/>
              </w:rPr>
              <w:t>001-42525</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87-4032622</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45 Park Street,</w:t>
        <w:br/>
      </w:r>
      <w:bookmarkStart w:id="9" w:name="xdx_908_edei--EntityAddressCityOrTown_c2"/>
      <w:bookmarkEnd w:id="9"/>
      <w:r>
        <w:rPr>
          <w:rFonts w:ascii="Times New Roman;Times;Serif" w:hAnsi="Times New Roman;Times;Serif"/>
          <w:b/>
          <w:i w:val="false"/>
          <w:caps w:val="false"/>
          <w:smallCaps w:val="false"/>
          <w:sz w:val="20"/>
        </w:rPr>
        <w:t xml:space="preserve">Montclair, </w:t>
      </w:r>
      <w:bookmarkStart w:id="10" w:name="xdx_905_edei--EntityAddressStateOrProvin"/>
      <w:bookmarkEnd w:id="10"/>
      <w:r>
        <w:rPr>
          <w:rFonts w:ascii="Times New Roman;Times;Serif" w:hAnsi="Times New Roman;Times;Serif"/>
          <w:b/>
          <w:i w:val="false"/>
          <w:caps w:val="false"/>
          <w:smallCaps w:val="false"/>
          <w:sz w:val="20"/>
        </w:rPr>
        <w:t xml:space="preserve">NJ </w:t>
      </w:r>
      <w:bookmarkStart w:id="11" w:name="xdx_900_edei--EntityAddressPostalZipCode"/>
      <w:bookmarkEnd w:id="11"/>
      <w:r>
        <w:rPr>
          <w:rFonts w:ascii="Times New Roman;Times;Serif" w:hAnsi="Times New Roman;Times;Serif"/>
          <w:b/>
          <w:i w:val="false"/>
          <w:caps w:val="false"/>
          <w:smallCaps w:val="false"/>
          <w:sz w:val="20"/>
        </w:rPr>
        <w:t>07042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0511__20"/>
      <w:bookmarkEnd w:id="12"/>
      <w:r>
        <w:rPr>
          <w:rFonts w:ascii="Times New Roman;Times;Serif" w:hAnsi="Times New Roman;Times;Serif"/>
          <w:b/>
          <w:i w:val="false"/>
          <w:caps w:val="false"/>
          <w:smallCaps w:val="false"/>
          <w:sz w:val="20"/>
        </w:rPr>
        <w:t xml:space="preserve">413) </w:t>
      </w:r>
      <w:bookmarkStart w:id="13" w:name="xdx_906_edei--LocalPhoneNumber_c20260511"/>
      <w:bookmarkEnd w:id="13"/>
      <w:r>
        <w:rPr>
          <w:rFonts w:ascii="Times New Roman;Times;Serif" w:hAnsi="Times New Roman;Times;Serif"/>
          <w:b/>
          <w:i w:val="false"/>
          <w:caps w:val="false"/>
          <w:smallCaps w:val="false"/>
          <w:sz w:val="20"/>
        </w:rPr>
        <w:t>398-2845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5"/>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2855"/>
        <w:gridCol w:w="60"/>
        <w:gridCol w:w="1610"/>
        <w:gridCol w:w="60"/>
        <w:gridCol w:w="3710"/>
      </w:tblGrid>
      <w:tr>
        <w:trPr/>
        <w:tc>
          <w:tcPr>
            <w:tcW w:w="285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sz w:val="20"/>
              </w:rPr>
            </w:pPr>
            <w:bookmarkStart w:id="18" w:name="xdx_90F_edei--Security12bTitle_c20260511"/>
            <w:bookmarkEnd w:id="18"/>
            <w:r>
              <w:rPr>
                <w:sz w:val="20"/>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6_edei--TradingSymbol_c20260511__2"/>
            <w:bookmarkEnd w:id="19"/>
            <w:r>
              <w:rPr>
                <w:sz w:val="20"/>
              </w:rPr>
              <w:t>TBH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2_edei--SecurityExchangeName_c2026"/>
            <w:bookmarkEnd w:id="20"/>
            <w:r>
              <w:rPr>
                <w:sz w:val="20"/>
              </w:rPr>
              <w:t>Nasdaq Stock Market LLC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C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Brag House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entered into a Merger Agreement, dated as of October 12, 2025, by and among the Company, Brag House Merger Sub, Inc., a Delaware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House of Doge Inc., a Texas corporation (“</w:t>
      </w:r>
      <w:r>
        <w:rPr>
          <w:rFonts w:ascii="Times New Roman;Times;Serif" w:hAnsi="Times New Roman;Times;Serif"/>
          <w:b w:val="false"/>
          <w:i w:val="false"/>
          <w:caps w:val="false"/>
          <w:smallCaps w:val="false"/>
          <w:sz w:val="20"/>
          <w:u w:val="single"/>
        </w:rPr>
        <w:t>House of Doge</w:t>
      </w:r>
      <w:r>
        <w:rPr>
          <w:rFonts w:ascii="Times New Roman;Times;Serif" w:hAnsi="Times New Roman;Times;Serif"/>
          <w:b w:val="false"/>
          <w:i w:val="false"/>
          <w:caps w:val="false"/>
          <w:smallCaps w:val="false"/>
          <w:sz w:val="20"/>
        </w:rPr>
        <w:t>”), as amended pursuant to Amendment No. 1 thereto dated as of November 26, 2025, Amendment No 2. thereto dated as of February 2, 2026, and Amendment No. 3 thereto dated as of March 26,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Merger Sub will merge with and into House of Doge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House of Doge surviving the Merger as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parties entered into Amendment No. 4 to the Merger Agreement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The Amendment extends the date after which either the Company or House of Doge can terminate the Merger Agreement if the transactions contemplated thereby have not been consummated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of the Amendment is subject to, and qualified in its entirety by, the full text of the Amendment, which is filed as Exhibit 2.1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9257"/>
      </w:tblGrid>
      <w:tr>
        <w:trPr/>
        <w:tc>
          <w:tcPr>
            <w:tcW w:w="88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57"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both"/>
              <w:rPr/>
            </w:pPr>
            <w:hyperlink w:anchor="ea029080801ex2-1.htm">
              <w:r>
                <w:rPr>
                  <w:rStyle w:val="InternetLink"/>
                  <w:sz w:val="20"/>
                </w:rPr>
                <w:t>Amendment No. 4 to Merger Agreement by and among Brag House Holdings, Inc., Brag House Merger Sub, Inc. and House of Doge Inc., dated as of May 11, 2026.</w:t>
              </w:r>
            </w:hyperlink>
          </w:p>
        </w:tc>
      </w:tr>
      <w:tr>
        <w:trPr/>
        <w:tc>
          <w:tcPr>
            <w:tcW w:w="888"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1655"/>
        <w:gridCol w:w="645"/>
        <w:gridCol w:w="2269"/>
      </w:tblGrid>
      <w:tr>
        <w:trPr/>
        <w:tc>
          <w:tcPr>
            <w:tcW w:w="1655" w:type="dxa"/>
            <w:tcBorders/>
            <w:vAlign w:val="center"/>
          </w:tcPr>
          <w:p>
            <w:pPr>
              <w:pStyle w:val="TableContents"/>
              <w:bidi w:val="0"/>
              <w:spacing w:before="0" w:after="283"/>
              <w:jc w:val="left"/>
              <w:rPr>
                <w:sz w:val="20"/>
              </w:rPr>
            </w:pPr>
            <w:r>
              <w:rPr>
                <w:sz w:val="20"/>
              </w:rPr>
              <w:t>Date: May 15, 2026</w:t>
            </w:r>
          </w:p>
        </w:tc>
        <w:tc>
          <w:tcPr>
            <w:tcW w:w="2914" w:type="dxa"/>
            <w:gridSpan w:val="2"/>
            <w:tcBorders/>
            <w:vAlign w:val="center"/>
          </w:tcPr>
          <w:p>
            <w:pPr>
              <w:pStyle w:val="TableContents"/>
              <w:bidi w:val="0"/>
              <w:spacing w:before="0" w:after="283"/>
              <w:jc w:val="left"/>
              <w:rPr>
                <w:b/>
                <w:sz w:val="20"/>
              </w:rPr>
            </w:pPr>
            <w:r>
              <w:rPr>
                <w:b/>
                <w:sz w:val="20"/>
              </w:rPr>
              <w:t xml:space="preserve">BRAG HOUSE HOLDINGS, INC. </w:t>
            </w:r>
          </w:p>
        </w:tc>
      </w:tr>
      <w:tr>
        <w:trPr/>
        <w:tc>
          <w:tcPr>
            <w:tcW w:w="165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By: </w:t>
            </w:r>
          </w:p>
        </w:tc>
        <w:tc>
          <w:tcPr>
            <w:tcW w:w="2269"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Lavell Juan Malloy, II</w:t>
            </w:r>
          </w:p>
        </w:tc>
      </w:tr>
      <w:tr>
        <w:trPr/>
        <w:tc>
          <w:tcPr>
            <w:tcW w:w="165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Name: </w:t>
            </w:r>
          </w:p>
        </w:tc>
        <w:tc>
          <w:tcPr>
            <w:tcW w:w="2269" w:type="dxa"/>
            <w:tcBorders/>
            <w:vAlign w:val="center"/>
          </w:tcPr>
          <w:p>
            <w:pPr>
              <w:pStyle w:val="TableContents"/>
              <w:bidi w:val="0"/>
              <w:spacing w:before="0" w:after="283"/>
              <w:jc w:val="left"/>
              <w:rPr>
                <w:sz w:val="20"/>
              </w:rPr>
            </w:pPr>
            <w:r>
              <w:rPr>
                <w:sz w:val="20"/>
              </w:rPr>
              <w:t>Lavell Juan Malloy, II</w:t>
            </w:r>
          </w:p>
        </w:tc>
      </w:tr>
      <w:tr>
        <w:trPr/>
        <w:tc>
          <w:tcPr>
            <w:tcW w:w="165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Title: </w:t>
            </w:r>
          </w:p>
        </w:tc>
        <w:tc>
          <w:tcPr>
            <w:tcW w:w="226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080801ex2-1.htm"/>
      <w:bookmarkStart w:id="24" w:name="ksea029080801ex21"/>
      <w:bookmarkEnd w:id="23"/>
      <w:bookmarkEnd w:id="24"/>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MERGER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MERGER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 OF DOGE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NO. 4 TO MERGER AGREEMENT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May 11, 2026, is by and among Brag House Holdings, Inc., a Delaware corporation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Brag House Merger Sub, Inc., a Delaware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House of Doge Inc., a Texas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the foregoing entities may be referred to hereinafter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shall have the respective meanings attributed to them in that certain Merger Agreement, dated as of October 12, 2025, as amended by Amendment No. 1 to Merger Agreement dated November 26, 2025, Amendment No. 2 to Merger Agreement dated February 2, 2026, and Amendment No. 3 to Merger Agreement dated March 26, 2026, by and among the Parties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are all of the parties to the Merger Agreement, pursuant to which it is anticipated that, among other things, Merger Sub will merge with and into the Company, with the Company being the surviving corporation in the Merger, and, after giving effect to the Merger, the Company will become a wholly-owned subsidiary of Purchaser as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wish to hereby amend certain provisions of the Merger Agreement on the terms and conditions set forth in this Amendment;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agreed to amend the Merger Agreement as hereinafter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mutual promises set forth herein and for other good and valuable consideration, the receipt and sufficiency of which are hereby acknowledged, the Parties, each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CERTAIN PROVISIONS OF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of Section 9.2(a)</w:t>
      </w:r>
      <w:r>
        <w:rPr>
          <w:rFonts w:ascii="Times New Roman;Times;Serif" w:hAnsi="Times New Roman;Times;Serif"/>
          <w:b w:val="false"/>
          <w:i w:val="false"/>
          <w:caps w:val="false"/>
          <w:smallCaps w:val="false"/>
          <w:sz w:val="20"/>
        </w:rPr>
        <w:t xml:space="preserve">: The date “May 29, 2026” as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of the Merger Agreement shall be removed and replaced with the date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This Amendment may not be assigned by any Party (whether by operation of law or otherwise) without the prior written consent of the other Party. Any attempted assignment of this Amendment not in accordance with the terms of this section shall be void. This Amendment shall be binding upon and inure to the benefit of the Parties hereto and their respective permitted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(together with the Merger Agreement) constitutes the entire agreement among the Parties with respect to the matters amended hereby and supersedes all other prior agreements and understandings, both written and oral, among the Parties with respect to such matters. Except as amended hereby, the Merger Agreement shall remain in full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Amendment shall be interpreted in such a manner so as to be effective and valid under applicable law, but if any provision of this Amendment is held to be prohibited by, illegal, invalid or unenforceable under applicable law, such provision or provisions shall be ineffective only to the extent of such prohibition, illegality, invalidity or unenforceability, without invalidating the remainder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and headings herein are solely for the convenience of the parties and are without substantive legal meaning. This Amendment may only be amended or modified by a writing signed by the Parties. Neither this Amendment nor any uncertainty or ambiguity herein shall be construed or resolved against any Party, whether under any rule of construction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one or more counterparts, each of which taken together shall constitute one and the same instrument, admissible into evidence. Delivery of an executed counterpart of a signature page to this Amendment by e-mail, pdf., docusign or scanned pages, shall be effective as delivery of a manually executed counterpart to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Amendment and any claim, controversy, dispute or cause of action (whether in contract or tort or otherwise) based upon, arising out of or relating to this Amendment and the transactions contemplated hereby and thereby shall be governed by, and construed in accordance with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 xml:space="preserve">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left blank intentionally; signature page(s)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duly executed and delivered by the undersigned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365"/>
        <w:gridCol w:w="4520"/>
      </w:tblGrid>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PURCHASER:</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BRAG HOUSE HOLDINGS, INC.</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Lavell Juan Malloy, II, Chief Executive Officer</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MERGER SUB:</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BRAG HOUSE MERGER SUB, INC.</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Daniel Leibovich, President</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COMPANY:</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HOUSE OF DOGE INC.</w:t>
            </w:r>
          </w:p>
        </w:tc>
      </w:tr>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Marco Margiotta,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4 to Merger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1408</Words>
  <Characters>7424</Characters>
  <CharactersWithSpaces>8853</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