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5" w:lineRule="exact"/>
        <w:rPr>
          <w:sz w:val="24"/>
          <w:szCs w:val="24"/>
          <w:color w:val="auto"/>
        </w:rPr>
      </w:pPr>
    </w:p>
    <w:p>
      <w:pPr>
        <w:jc w:val="center"/>
        <w:ind w:left="3980" w:right="940" w:hanging="3032"/>
        <w:spacing w:after="0" w:line="503" w:lineRule="auto"/>
        <w:tabs>
          <w:tab w:leader="none" w:pos="115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QUARTERLY REPORT PURSUANT TO SECTION 13 OR 15(d) OF THE SECURITIES EXCHANGE ACT OF 1934 </w:t>
      </w:r>
      <w:r>
        <w:rPr>
          <w:rFonts w:ascii="Times New Roman" w:cs="Times New Roman" w:eastAsia="Times New Roman" w:hAnsi="Times New Roman"/>
          <w:sz w:val="18"/>
          <w:szCs w:val="18"/>
          <w:color w:val="auto"/>
        </w:rPr>
        <w:t xml:space="preserve">For the quarterly period ended </w:t>
      </w:r>
      <w:r>
        <w:rPr>
          <w:rFonts w:ascii="Times New Roman" w:cs="Times New Roman" w:eastAsia="Times New Roman" w:hAnsi="Times New Roman"/>
          <w:sz w:val="18"/>
          <w:szCs w:val="18"/>
          <w:b w:val="1"/>
          <w:bCs w:val="1"/>
          <w:color w:val="auto"/>
        </w:rPr>
        <w:t>June 30, 2025</w:t>
      </w:r>
    </w:p>
    <w:p>
      <w:pPr>
        <w:ind w:left="554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or</w:t>
      </w:r>
    </w:p>
    <w:p>
      <w:pPr>
        <w:spacing w:after="0" w:line="221" w:lineRule="exact"/>
        <w:rPr>
          <w:rFonts w:ascii="MS PGothic" w:cs="MS PGothic" w:eastAsia="MS PGothic" w:hAnsi="MS PGothic"/>
          <w:sz w:val="18"/>
          <w:szCs w:val="18"/>
          <w:color w:val="auto"/>
        </w:rPr>
      </w:pPr>
    </w:p>
    <w:p>
      <w:pPr>
        <w:ind w:left="1140" w:hanging="199"/>
        <w:spacing w:after="0"/>
        <w:tabs>
          <w:tab w:leader="none" w:pos="11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9"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8"/>
          <w:szCs w:val="18"/>
          <w:color w:val="auto"/>
        </w:rPr>
        <w:t>For the transition period from ___________ to ___________</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001-42525</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540" w:type="dxa"/>
            <w:vAlign w:val="bottom"/>
            <w:tcBorders>
              <w:bottom w:val="single" w:sz="8" w:color="auto"/>
            </w:tcBorders>
            <w:gridSpan w:val="3"/>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600" w:type="dxa"/>
            <w:vAlign w:val="bottom"/>
            <w:tcBorders>
              <w:bottom w:val="single" w:sz="8" w:color="auto"/>
            </w:tcBorders>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87-4032622</w:t>
            </w:r>
          </w:p>
        </w:tc>
      </w:tr>
      <w:tr>
        <w:trPr>
          <w:trHeight w:val="198"/>
        </w:trPr>
        <w:tc>
          <w:tcPr>
            <w:tcW w:w="4540" w:type="dxa"/>
            <w:vAlign w:val="bottom"/>
            <w:gridSpan w:val="3"/>
          </w:tcPr>
          <w:p>
            <w:pPr>
              <w:jc w:val="center"/>
              <w:ind w:left="890"/>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0" w:type="dxa"/>
            <w:vAlign w:val="bottom"/>
          </w:tcPr>
          <w:p>
            <w:pPr>
              <w:jc w:val="center"/>
              <w:ind w:right="181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540" w:type="dxa"/>
            <w:vAlign w:val="bottom"/>
            <w:gridSpan w:val="3"/>
          </w:tcPr>
          <w:p>
            <w:pPr>
              <w:jc w:val="center"/>
              <w:ind w:left="89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540" w:type="dxa"/>
            <w:vAlign w:val="bottom"/>
            <w:gridSpan w:val="3"/>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rPr>
              <w:t>45 Park Street</w:t>
            </w: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45"/>
        </w:trPr>
        <w:tc>
          <w:tcPr>
            <w:tcW w:w="4540" w:type="dxa"/>
            <w:vAlign w:val="bottom"/>
            <w:tcBorders>
              <w:bottom w:val="single" w:sz="8" w:color="auto"/>
            </w:tcBorders>
            <w:gridSpan w:val="3"/>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8"/>
              </w:rPr>
              <w:t>Montclair, NJ</w:t>
            </w:r>
          </w:p>
        </w:tc>
        <w:tc>
          <w:tcPr>
            <w:tcW w:w="5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6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07042</w:t>
            </w:r>
          </w:p>
        </w:tc>
      </w:tr>
      <w:tr>
        <w:trPr>
          <w:trHeight w:val="243"/>
        </w:trPr>
        <w:tc>
          <w:tcPr>
            <w:tcW w:w="4540" w:type="dxa"/>
            <w:vAlign w:val="bottom"/>
            <w:gridSpan w:val="3"/>
          </w:tcPr>
          <w:p>
            <w:pPr>
              <w:jc w:val="center"/>
              <w:ind w:left="89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5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r>
        <w:trPr>
          <w:trHeight w:val="392"/>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(413) 398-2845</w:t>
            </w: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7"/>
        </w:trPr>
        <w:tc>
          <w:tcPr>
            <w:tcW w:w="3620" w:type="dxa"/>
            <w:vAlign w:val="bottom"/>
          </w:tcPr>
          <w:p>
            <w:pPr>
              <w:spacing w:after="0"/>
              <w:rPr>
                <w:sz w:val="20"/>
                <w:szCs w:val="20"/>
                <w:color w:val="auto"/>
              </w:rPr>
            </w:pPr>
          </w:p>
        </w:tc>
        <w:tc>
          <w:tcPr>
            <w:tcW w:w="4020" w:type="dxa"/>
            <w:vAlign w:val="bottom"/>
            <w:gridSpan w:val="9"/>
          </w:tcPr>
          <w:p>
            <w:pPr>
              <w:jc w:val="center"/>
              <w:ind w:right="2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600" w:type="dxa"/>
            <w:vAlign w:val="bottom"/>
          </w:tcPr>
          <w:p>
            <w:pPr>
              <w:spacing w:after="0"/>
              <w:rPr>
                <w:sz w:val="20"/>
                <w:szCs w:val="20"/>
                <w:color w:val="auto"/>
              </w:rPr>
            </w:pPr>
          </w:p>
        </w:tc>
      </w:tr>
      <w:tr>
        <w:trPr>
          <w:trHeight w:val="432"/>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466"/>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20" w:type="dxa"/>
            <w:vAlign w:val="bottom"/>
            <w:tcBorders>
              <w:bottom w:val="single" w:sz="8" w:color="CCEEFF"/>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6"/>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200" w:type="dxa"/>
            <w:vAlign w:val="bottom"/>
            <w:tcBorders>
              <w:bottom w:val="single" w:sz="8" w:color="CCEEFF"/>
            </w:tcBorders>
          </w:tcPr>
          <w:p>
            <w:pPr>
              <w:spacing w:after="0"/>
              <w:rPr>
                <w:sz w:val="24"/>
                <w:szCs w:val="24"/>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43"/>
        </w:trPr>
        <w:tc>
          <w:tcPr>
            <w:tcW w:w="4540" w:type="dxa"/>
            <w:vAlign w:val="bottom"/>
            <w:gridSpan w:val="3"/>
            <w:shd w:val="clear" w:color="auto" w:fill="CCEEFF"/>
          </w:tcPr>
          <w:p>
            <w:pPr>
              <w:jc w:val="center"/>
              <w:ind w:right="920"/>
              <w:spacing w:after="0"/>
              <w:rPr>
                <w:sz w:val="20"/>
                <w:szCs w:val="20"/>
                <w:color w:val="auto"/>
              </w:rPr>
            </w:pPr>
            <w:r>
              <w:rPr>
                <w:rFonts w:ascii="Times New Roman" w:cs="Times New Roman" w:eastAsia="Times New Roman" w:hAnsi="Times New Roman"/>
                <w:sz w:val="18"/>
                <w:szCs w:val="18"/>
                <w:color w:val="auto"/>
              </w:rPr>
              <w:t>Common Stock</w:t>
            </w:r>
          </w:p>
        </w:tc>
        <w:tc>
          <w:tcPr>
            <w:tcW w:w="520" w:type="dxa"/>
            <w:vAlign w:val="bottom"/>
            <w:shd w:val="clear" w:color="auto" w:fill="CCEEFF"/>
          </w:tcPr>
          <w:p>
            <w:pPr>
              <w:spacing w:after="0"/>
              <w:rPr>
                <w:sz w:val="21"/>
                <w:szCs w:val="21"/>
                <w:color w:val="auto"/>
              </w:rPr>
            </w:pPr>
          </w:p>
        </w:tc>
        <w:tc>
          <w:tcPr>
            <w:tcW w:w="2580" w:type="dxa"/>
            <w:vAlign w:val="bottom"/>
            <w:gridSpan w:val="6"/>
            <w:shd w:val="clear" w:color="auto" w:fill="CCEEFF"/>
          </w:tcPr>
          <w:p>
            <w:pPr>
              <w:jc w:val="center"/>
              <w:ind w:right="1420"/>
              <w:spacing w:after="0"/>
              <w:rPr>
                <w:sz w:val="20"/>
                <w:szCs w:val="20"/>
                <w:color w:val="auto"/>
              </w:rPr>
            </w:pPr>
            <w:r>
              <w:rPr>
                <w:rFonts w:ascii="Times New Roman" w:cs="Times New Roman" w:eastAsia="Times New Roman" w:hAnsi="Times New Roman"/>
                <w:sz w:val="18"/>
                <w:szCs w:val="18"/>
                <w:color w:val="auto"/>
                <w:w w:val="99"/>
              </w:rPr>
              <w:t>TBH</w:t>
            </w: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509" w:right="339" w:bottom="1440" w:gutter="0" w:footer="0" w:header="0"/>
        </w:sectPr>
      </w:pPr>
    </w:p>
    <w:p>
      <w:pPr>
        <w:spacing w:after="0" w:line="13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8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4900" w:space="720"/>
            <w:col w:w="5620"/>
          </w:cols>
          <w:pgMar w:left="320" w:top="509" w:right="339" w:bottom="1440" w:gutter="0" w:footer="0" w:header="0"/>
          <w:type w:val="continuous"/>
        </w:sectPr>
      </w:pPr>
    </w:p>
    <w:p>
      <w:pPr>
        <w:spacing w:after="0" w:line="17"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registrant had 10,822,588 shares of its common stock, par value $0.0001, issued and outstanding as of August 14,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608965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 REGARDING FORWARD-LOOKING STATEMENTS</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Section 27A of the Securities Act of 1933, as amended (“Securities Act”), and Section 21E of the Securities Exchange Act of 1934, as amended (“Exchange Act”). In particular, statements contained in this Quarterly Report on Form 10-Q, including but not limited to, statements regarding the sufficiency of our cash, our ability to finance our operations and business initiatives and obtain funding for such activities; our future results of operations and financial position, business strategy and plan prospects, or costs and objectives of management for future acquisitions, are forward looking statements. These forward-looking statements relate to our future plans, objectives, expectations and intentions and may be identified by words such as “may,” “will,” “should,” “expects,” “plans,” “anticipates,” “intends,” “targets,” “projects,” “contemplates,” “believes,” “seeks,” “goals,” “estimates,” “predicts,” “potential” and “continue” or similar words. Readers are cautioned that these forward-looking statements are based on our current beliefs, expectations and assumptions and are subject to risks, uncertainties, and assumptions that are difficult to predict, including those identified below, under Part II, Item lA. “Risk Factors” and elsewhere in this Quarterly Report on Form 10-Q and those risks identified under Part I, Item 1A of our Annual Report on Form 10-K for the year ended December 31, 2024 filed with the Securities and Exchange Commission on May 7, 2025. Therefore, actual results may differ materially and adversely from those expressed, projected or implied in any forward-looking statements. We undertake no obligation to revise or update any forward-looking statements for any reason.</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 REGARDING COMPANY REFERENCES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Throughout this Quarterly Report on Form 10-Q, the terms “Brag House,” “we,” “us,” our,” “our company,” “Company” and “our business” refer to Brag House Holdings, Inc. and its wholly owned subsidiaries, Brag House Inc. and Brag House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8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42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4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4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38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14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CCEEFF"/>
            </w:tcBorders>
          </w:tcPr>
          <w:p>
            <w:pPr>
              <w:spacing w:after="0"/>
              <w:rPr>
                <w:sz w:val="21"/>
                <w:szCs w:val="21"/>
                <w:color w:val="auto"/>
              </w:rPr>
            </w:pPr>
          </w:p>
        </w:tc>
        <w:tc>
          <w:tcPr>
            <w:tcW w:w="1540" w:type="dxa"/>
            <w:vAlign w:val="bottom"/>
            <w:tcBorders>
              <w:bottom w:val="single" w:sz="8" w:color="CCEEFF"/>
            </w:tcBorders>
          </w:tcPr>
          <w:p>
            <w:pPr>
              <w:spacing w:after="0"/>
              <w:rPr>
                <w:sz w:val="21"/>
                <w:szCs w:val="21"/>
                <w:color w:val="auto"/>
              </w:rPr>
            </w:pPr>
          </w:p>
        </w:tc>
        <w:tc>
          <w:tcPr>
            <w:tcW w:w="600" w:type="dxa"/>
            <w:vAlign w:val="bottom"/>
            <w:tcBorders>
              <w:bottom w:val="single" w:sz="8" w:color="CCEEFF"/>
            </w:tcBorders>
          </w:tcPr>
          <w:p>
            <w:pPr>
              <w:spacing w:after="0"/>
              <w:rPr>
                <w:sz w:val="21"/>
                <w:szCs w:val="21"/>
                <w:color w:val="auto"/>
              </w:rPr>
            </w:pPr>
          </w:p>
        </w:tc>
        <w:tc>
          <w:tcPr>
            <w:tcW w:w="1280" w:type="dxa"/>
            <w:vAlign w:val="bottom"/>
            <w:tcBorders>
              <w:bottom w:val="single" w:sz="8" w:color="CCEEFF"/>
            </w:tcBorders>
          </w:tcPr>
          <w:p>
            <w:pPr>
              <w:spacing w:after="0"/>
              <w:rPr>
                <w:sz w:val="21"/>
                <w:szCs w:val="21"/>
                <w:color w:val="auto"/>
              </w:rPr>
            </w:pPr>
          </w:p>
        </w:tc>
        <w:tc>
          <w:tcPr>
            <w:tcW w:w="110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75"/>
        </w:trPr>
        <w:tc>
          <w:tcPr>
            <w:tcW w:w="780" w:type="dxa"/>
            <w:vAlign w:val="bottom"/>
            <w:shd w:val="clear" w:color="auto" w:fill="CCEEFF"/>
          </w:tcPr>
          <w:p>
            <w:pPr>
              <w:spacing w:after="0"/>
              <w:rPr>
                <w:sz w:val="15"/>
                <w:szCs w:val="15"/>
                <w:color w:val="auto"/>
              </w:rPr>
            </w:pPr>
          </w:p>
        </w:tc>
        <w:tc>
          <w:tcPr>
            <w:tcW w:w="9560" w:type="dxa"/>
            <w:vAlign w:val="bottom"/>
            <w:gridSpan w:val="19"/>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PART I-FINANCIAL INFORMATION</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21"/>
        </w:trPr>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7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l.</w:t>
            </w:r>
          </w:p>
        </w:tc>
        <w:tc>
          <w:tcPr>
            <w:tcW w:w="9560" w:type="dxa"/>
            <w:vAlign w:val="bottom"/>
            <w:gridSpan w:val="19"/>
          </w:tcPr>
          <w:p>
            <w:pPr>
              <w:ind w:left="140"/>
              <w:spacing w:after="0" w:line="176" w:lineRule="exact"/>
              <w:rPr>
                <w:sz w:val="20"/>
                <w:szCs w:val="20"/>
                <w:color w:val="auto"/>
              </w:rPr>
            </w:pPr>
            <w:r>
              <w:rPr>
                <w:rFonts w:ascii="Times New Roman" w:cs="Times New Roman" w:eastAsia="Times New Roman" w:hAnsi="Times New Roman"/>
                <w:sz w:val="18"/>
                <w:szCs w:val="18"/>
                <w:color w:val="0000EE"/>
              </w:rPr>
              <w:t>Condensed Consolidated Financial Statements (Unaudited)</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21"/>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5"/>
        </w:trPr>
        <w:tc>
          <w:tcPr>
            <w:tcW w:w="780" w:type="dxa"/>
            <w:vAlign w:val="bottom"/>
            <w:shd w:val="clear" w:color="auto" w:fill="CCEEFF"/>
          </w:tcPr>
          <w:p>
            <w:pPr>
              <w:spacing w:after="0"/>
              <w:rPr>
                <w:sz w:val="15"/>
                <w:szCs w:val="15"/>
                <w:color w:val="auto"/>
              </w:rPr>
            </w:pPr>
          </w:p>
        </w:tc>
        <w:tc>
          <w:tcPr>
            <w:tcW w:w="9560" w:type="dxa"/>
            <w:vAlign w:val="bottom"/>
            <w:gridSpan w:val="19"/>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 as of June 30, 2025 (Unaudited) and December 31, 2024</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2</w:t>
            </w:r>
          </w:p>
        </w:tc>
      </w:tr>
      <w:tr>
        <w:trPr>
          <w:trHeight w:val="21"/>
        </w:trPr>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4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54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80" w:type="dxa"/>
            <w:vAlign w:val="bottom"/>
          </w:tcPr>
          <w:p>
            <w:pPr>
              <w:spacing w:after="0"/>
              <w:rPr>
                <w:sz w:val="15"/>
                <w:szCs w:val="15"/>
                <w:color w:val="auto"/>
              </w:rPr>
            </w:pPr>
          </w:p>
        </w:tc>
        <w:tc>
          <w:tcPr>
            <w:tcW w:w="9560" w:type="dxa"/>
            <w:vAlign w:val="bottom"/>
            <w:gridSpan w:val="19"/>
          </w:tcPr>
          <w:p>
            <w:pPr>
              <w:ind w:left="140"/>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Operations and Comprehensive Loss For the Six and Three Months Ended June 30, 2025</w:t>
            </w:r>
          </w:p>
        </w:tc>
        <w:tc>
          <w:tcPr>
            <w:tcW w:w="900" w:type="dxa"/>
            <w:vAlign w:val="bottom"/>
          </w:tcPr>
          <w:p>
            <w:pPr>
              <w:spacing w:after="0"/>
              <w:rPr>
                <w:sz w:val="15"/>
                <w:szCs w:val="15"/>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20" w:type="dxa"/>
            <w:vAlign w:val="bottom"/>
            <w:tcBorders>
              <w:top w:val="single" w:sz="8" w:color="0000EE"/>
            </w:tcBorders>
            <w:gridSpan w:val="18"/>
          </w:tcPr>
          <w:p>
            <w:pPr>
              <w:ind w:left="160"/>
              <w:spacing w:after="0" w:line="196" w:lineRule="exact"/>
              <w:rPr>
                <w:sz w:val="20"/>
                <w:szCs w:val="20"/>
                <w:color w:val="auto"/>
              </w:rPr>
            </w:pPr>
            <w:r>
              <w:rPr>
                <w:rFonts w:ascii="Times New Roman" w:cs="Times New Roman" w:eastAsia="Times New Roman" w:hAnsi="Times New Roman"/>
                <w:sz w:val="18"/>
                <w:szCs w:val="18"/>
                <w:color w:val="0000EE"/>
              </w:rPr>
              <w:t>and 2024 (Unaudited)</w:t>
            </w: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21"/>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5"/>
        </w:trPr>
        <w:tc>
          <w:tcPr>
            <w:tcW w:w="780" w:type="dxa"/>
            <w:vAlign w:val="bottom"/>
            <w:shd w:val="clear" w:color="auto" w:fill="CCEEFF"/>
          </w:tcPr>
          <w:p>
            <w:pPr>
              <w:spacing w:after="0"/>
              <w:rPr>
                <w:sz w:val="15"/>
                <w:szCs w:val="15"/>
                <w:color w:val="auto"/>
              </w:rPr>
            </w:pPr>
          </w:p>
        </w:tc>
        <w:tc>
          <w:tcPr>
            <w:tcW w:w="9560" w:type="dxa"/>
            <w:vAlign w:val="bottom"/>
            <w:gridSpan w:val="19"/>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Changes in Stockholders’ Equity (Deficit) For the Six and Three Months Ended June 30,</w:t>
            </w:r>
          </w:p>
        </w:tc>
        <w:tc>
          <w:tcPr>
            <w:tcW w:w="900" w:type="dxa"/>
            <w:vAlign w:val="bottom"/>
            <w:shd w:val="clear" w:color="auto" w:fill="CCEEFF"/>
          </w:tcPr>
          <w:p>
            <w:pPr>
              <w:spacing w:after="0"/>
              <w:rPr>
                <w:sz w:val="15"/>
                <w:szCs w:val="15"/>
                <w:color w:val="auto"/>
              </w:rPr>
            </w:pPr>
          </w:p>
        </w:tc>
      </w:tr>
      <w:tr>
        <w:trPr>
          <w:trHeight w:val="196"/>
        </w:trPr>
        <w:tc>
          <w:tcPr>
            <w:tcW w:w="7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420" w:type="dxa"/>
            <w:vAlign w:val="bottom"/>
            <w:tcBorders>
              <w:top w:val="single" w:sz="8" w:color="0000EE"/>
            </w:tcBorders>
            <w:gridSpan w:val="18"/>
            <w:shd w:val="clear" w:color="auto" w:fill="CCEEFF"/>
          </w:tcPr>
          <w:p>
            <w:pPr>
              <w:ind w:left="160"/>
              <w:spacing w:after="0" w:line="196" w:lineRule="exact"/>
              <w:rPr>
                <w:sz w:val="20"/>
                <w:szCs w:val="20"/>
                <w:color w:val="auto"/>
              </w:rPr>
            </w:pPr>
            <w:r>
              <w:rPr>
                <w:rFonts w:ascii="Times New Roman" w:cs="Times New Roman" w:eastAsia="Times New Roman" w:hAnsi="Times New Roman"/>
                <w:sz w:val="18"/>
                <w:szCs w:val="18"/>
                <w:color w:val="0000EE"/>
              </w:rPr>
              <w:t>2025 and 2024 (Unaudited)</w:t>
            </w:r>
          </w:p>
        </w:tc>
        <w:tc>
          <w:tcPr>
            <w:tcW w:w="900" w:type="dxa"/>
            <w:vAlign w:val="bottom"/>
            <w:tcBorders>
              <w:top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1"/>
        </w:trPr>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780" w:type="dxa"/>
            <w:vAlign w:val="bottom"/>
          </w:tcPr>
          <w:p>
            <w:pPr>
              <w:spacing w:after="0"/>
              <w:rPr>
                <w:sz w:val="15"/>
                <w:szCs w:val="15"/>
                <w:color w:val="auto"/>
              </w:rPr>
            </w:pPr>
          </w:p>
        </w:tc>
        <w:tc>
          <w:tcPr>
            <w:tcW w:w="9560" w:type="dxa"/>
            <w:vAlign w:val="bottom"/>
            <w:gridSpan w:val="19"/>
          </w:tcPr>
          <w:p>
            <w:pPr>
              <w:ind w:left="140"/>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 For the Six Months Ended June 30, 2025 and 2024 (Unaudited)</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6</w:t>
            </w:r>
          </w:p>
        </w:tc>
      </w:tr>
      <w:tr>
        <w:trPr>
          <w:trHeight w:val="21"/>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5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6"/>
        </w:trPr>
        <w:tc>
          <w:tcPr>
            <w:tcW w:w="780" w:type="dxa"/>
            <w:vAlign w:val="bottom"/>
            <w:shd w:val="clear" w:color="auto" w:fill="CCEEFF"/>
          </w:tcPr>
          <w:p>
            <w:pPr>
              <w:spacing w:after="0"/>
              <w:rPr>
                <w:sz w:val="15"/>
                <w:szCs w:val="15"/>
                <w:color w:val="auto"/>
              </w:rPr>
            </w:pPr>
          </w:p>
        </w:tc>
        <w:tc>
          <w:tcPr>
            <w:tcW w:w="9560" w:type="dxa"/>
            <w:vAlign w:val="bottom"/>
            <w:gridSpan w:val="19"/>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Notes to Condensed Consolidated Financial Statements (Unaudited)</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4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7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560" w:type="dxa"/>
            <w:vAlign w:val="bottom"/>
            <w:gridSpan w:val="19"/>
          </w:tcPr>
          <w:p>
            <w:pPr>
              <w:ind w:left="140"/>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21"/>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540" w:type="dxa"/>
            <w:vAlign w:val="bottom"/>
            <w:tcBorders>
              <w:top w:val="single" w:sz="8" w:color="0000EE"/>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6"/>
        </w:trPr>
        <w:tc>
          <w:tcPr>
            <w:tcW w:w="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560" w:type="dxa"/>
            <w:vAlign w:val="bottom"/>
            <w:gridSpan w:val="19"/>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39</w:t>
            </w:r>
          </w:p>
        </w:tc>
      </w:tr>
      <w:tr>
        <w:trPr>
          <w:trHeight w:val="21"/>
        </w:trPr>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4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7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560" w:type="dxa"/>
            <w:vAlign w:val="bottom"/>
            <w:gridSpan w:val="19"/>
          </w:tcPr>
          <w:p>
            <w:pPr>
              <w:ind w:left="140"/>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39</w:t>
            </w:r>
          </w:p>
        </w:tc>
      </w:tr>
      <w:tr>
        <w:trPr>
          <w:trHeight w:val="21"/>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16"/>
        </w:trPr>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176"/>
        </w:trPr>
        <w:tc>
          <w:tcPr>
            <w:tcW w:w="780" w:type="dxa"/>
            <w:vAlign w:val="bottom"/>
          </w:tcPr>
          <w:p>
            <w:pPr>
              <w:spacing w:after="0"/>
              <w:rPr>
                <w:sz w:val="15"/>
                <w:szCs w:val="15"/>
                <w:color w:val="auto"/>
              </w:rPr>
            </w:pPr>
          </w:p>
        </w:tc>
        <w:tc>
          <w:tcPr>
            <w:tcW w:w="9560" w:type="dxa"/>
            <w:vAlign w:val="bottom"/>
            <w:gridSpan w:val="19"/>
          </w:tcPr>
          <w:p>
            <w:pPr>
              <w:ind w:left="140"/>
              <w:spacing w:after="0" w:line="176" w:lineRule="exact"/>
              <w:rPr>
                <w:sz w:val="20"/>
                <w:szCs w:val="20"/>
                <w:color w:val="auto"/>
              </w:rPr>
            </w:pPr>
            <w:r>
              <w:rPr>
                <w:rFonts w:ascii="Times New Roman" w:cs="Times New Roman" w:eastAsia="Times New Roman" w:hAnsi="Times New Roman"/>
                <w:sz w:val="18"/>
                <w:szCs w:val="18"/>
                <w:color w:val="0000EE"/>
              </w:rPr>
              <w:t>PART II-OTHER INFORMATION</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40</w:t>
            </w: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5"/>
        </w:trPr>
        <w:tc>
          <w:tcPr>
            <w:tcW w:w="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560" w:type="dxa"/>
            <w:vAlign w:val="bottom"/>
            <w:gridSpan w:val="19"/>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40</w:t>
            </w:r>
          </w:p>
        </w:tc>
      </w:tr>
      <w:tr>
        <w:trPr>
          <w:trHeight w:val="21"/>
        </w:trPr>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560" w:type="dxa"/>
            <w:vAlign w:val="bottom"/>
            <w:gridSpan w:val="19"/>
          </w:tcPr>
          <w:p>
            <w:pPr>
              <w:ind w:left="140"/>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40</w:t>
            </w:r>
          </w:p>
        </w:tc>
      </w:tr>
      <w:tr>
        <w:trPr>
          <w:trHeight w:val="21"/>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5"/>
        </w:trPr>
        <w:tc>
          <w:tcPr>
            <w:tcW w:w="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560" w:type="dxa"/>
            <w:vAlign w:val="bottom"/>
            <w:gridSpan w:val="19"/>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40</w:t>
            </w:r>
          </w:p>
        </w:tc>
      </w:tr>
      <w:tr>
        <w:trPr>
          <w:trHeight w:val="21"/>
        </w:trPr>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4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7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560" w:type="dxa"/>
            <w:vAlign w:val="bottom"/>
            <w:gridSpan w:val="19"/>
          </w:tcPr>
          <w:p>
            <w:pPr>
              <w:ind w:left="140"/>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41</w:t>
            </w:r>
          </w:p>
        </w:tc>
      </w:tr>
      <w:tr>
        <w:trPr>
          <w:trHeight w:val="21"/>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5"/>
        </w:trPr>
        <w:tc>
          <w:tcPr>
            <w:tcW w:w="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560" w:type="dxa"/>
            <w:vAlign w:val="bottom"/>
            <w:gridSpan w:val="19"/>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41</w:t>
            </w:r>
          </w:p>
        </w:tc>
      </w:tr>
      <w:tr>
        <w:trPr>
          <w:trHeight w:val="21"/>
        </w:trPr>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9560" w:type="dxa"/>
            <w:vAlign w:val="bottom"/>
            <w:gridSpan w:val="19"/>
          </w:tcPr>
          <w:p>
            <w:pPr>
              <w:ind w:left="140"/>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41</w:t>
            </w: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6"/>
        </w:trPr>
        <w:tc>
          <w:tcPr>
            <w:tcW w:w="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560" w:type="dxa"/>
            <w:vAlign w:val="bottom"/>
            <w:gridSpan w:val="19"/>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41</w:t>
            </w:r>
          </w:p>
        </w:tc>
      </w:tr>
      <w:tr>
        <w:trPr>
          <w:trHeight w:val="20"/>
        </w:trPr>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34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42</w:t>
            </w:r>
          </w:p>
        </w:tc>
      </w:tr>
      <w:tr>
        <w:trPr>
          <w:trHeight w:val="20"/>
        </w:trPr>
        <w:tc>
          <w:tcPr>
            <w:tcW w:w="7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900" w:type="dxa"/>
            <w:vAlign w:val="bottom"/>
            <w:gridSpan w:val="5"/>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8"/>
              </w:rPr>
              <w:t>PART I - FINANCIAL INFORMATION</w:t>
            </w:r>
          </w:p>
        </w:tc>
        <w:tc>
          <w:tcPr>
            <w:tcW w:w="900" w:type="dxa"/>
            <w:vAlign w:val="bottom"/>
          </w:tcPr>
          <w:p>
            <w:pPr>
              <w:spacing w:after="0"/>
              <w:rPr>
                <w:sz w:val="20"/>
                <w:szCs w:val="20"/>
                <w:color w:val="auto"/>
              </w:rPr>
            </w:pPr>
          </w:p>
        </w:tc>
      </w:tr>
      <w:tr>
        <w:trPr>
          <w:trHeight w:val="432"/>
        </w:trPr>
        <w:tc>
          <w:tcPr>
            <w:tcW w:w="1034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 (Unaudited)</w:t>
            </w:r>
          </w:p>
        </w:tc>
        <w:tc>
          <w:tcPr>
            <w:tcW w:w="900" w:type="dxa"/>
            <w:vAlign w:val="bottom"/>
          </w:tcPr>
          <w:p>
            <w:pPr>
              <w:spacing w:after="0"/>
              <w:rPr>
                <w:sz w:val="24"/>
                <w:szCs w:val="24"/>
                <w:color w:val="auto"/>
              </w:rPr>
            </w:pPr>
          </w:p>
        </w:tc>
      </w:tr>
      <w:tr>
        <w:trPr>
          <w:trHeight w:val="410"/>
        </w:trPr>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900" w:type="dxa"/>
            <w:vAlign w:val="bottom"/>
            <w:gridSpan w:val="5"/>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BRAG HOUSE HOLDINGS, INC.</w:t>
            </w:r>
          </w:p>
        </w:tc>
        <w:tc>
          <w:tcPr>
            <w:tcW w:w="900" w:type="dxa"/>
            <w:vAlign w:val="bottom"/>
          </w:tcPr>
          <w:p>
            <w:pPr>
              <w:spacing w:after="0"/>
              <w:rPr>
                <w:sz w:val="24"/>
                <w:szCs w:val="24"/>
                <w:color w:val="auto"/>
              </w:rPr>
            </w:pPr>
          </w:p>
        </w:tc>
      </w:tr>
      <w:tr>
        <w:trPr>
          <w:trHeight w:val="238"/>
        </w:trPr>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900" w:type="dxa"/>
            <w:vAlign w:val="bottom"/>
            <w:gridSpan w:val="5"/>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INDEX TO CONDENSED CONSOLIDATED FINANCIAL STATEMENTS (UNAUDITED)</w:t>
            </w:r>
          </w:p>
        </w:tc>
        <w:tc>
          <w:tcPr>
            <w:tcW w:w="900" w:type="dxa"/>
            <w:vAlign w:val="bottom"/>
          </w:tcPr>
          <w:p>
            <w:pPr>
              <w:spacing w:after="0"/>
              <w:rPr>
                <w:sz w:val="20"/>
                <w:szCs w:val="20"/>
                <w:color w:val="auto"/>
              </w:rPr>
            </w:pPr>
          </w:p>
        </w:tc>
      </w:tr>
      <w:tr>
        <w:trPr>
          <w:trHeight w:val="439"/>
        </w:trPr>
        <w:tc>
          <w:tcPr>
            <w:tcW w:w="16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3480" w:type="dxa"/>
            <w:vAlign w:val="bottom"/>
            <w:tcBorders>
              <w:bottom w:val="single" w:sz="8" w:color="CCEEFF"/>
            </w:tcBorders>
          </w:tcPr>
          <w:p>
            <w:pPr>
              <w:spacing w:after="0"/>
              <w:rPr>
                <w:sz w:val="24"/>
                <w:szCs w:val="24"/>
                <w:color w:val="auto"/>
              </w:rPr>
            </w:pPr>
          </w:p>
        </w:tc>
        <w:tc>
          <w:tcPr>
            <w:tcW w:w="2140" w:type="dxa"/>
            <w:vAlign w:val="bottom"/>
            <w:tcBorders>
              <w:bottom w:val="single" w:sz="8" w:color="CCEEFF"/>
            </w:tcBorders>
          </w:tcPr>
          <w:p>
            <w:pPr>
              <w:spacing w:after="0"/>
              <w:rPr>
                <w:sz w:val="24"/>
                <w:szCs w:val="24"/>
                <w:color w:val="auto"/>
              </w:rPr>
            </w:pPr>
          </w:p>
        </w:tc>
        <w:tc>
          <w:tcPr>
            <w:tcW w:w="1280" w:type="dxa"/>
            <w:vAlign w:val="bottom"/>
            <w:tcBorders>
              <w:bottom w:val="single" w:sz="8" w:color="CCEEFF"/>
            </w:tcBorders>
          </w:tcPr>
          <w:p>
            <w:pPr>
              <w:spacing w:after="0"/>
              <w:rPr>
                <w:sz w:val="24"/>
                <w:szCs w:val="24"/>
                <w:color w:val="auto"/>
              </w:rPr>
            </w:pPr>
          </w:p>
        </w:tc>
        <w:tc>
          <w:tcPr>
            <w:tcW w:w="166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96"/>
        </w:trPr>
        <w:tc>
          <w:tcPr>
            <w:tcW w:w="7060" w:type="dxa"/>
            <w:vAlign w:val="bottom"/>
            <w:tcBorders>
              <w:bottom w:val="single" w:sz="8" w:color="0000EE"/>
            </w:tcBorders>
            <w:gridSpan w:val="5"/>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EE"/>
              </w:rPr>
              <w:t>Condensed Consolidated Balance Sheets as of June 30, 2025 (Unaudited) and December 31, 2024</w:t>
            </w:r>
          </w:p>
        </w:tc>
        <w:tc>
          <w:tcPr>
            <w:tcW w:w="3280" w:type="dxa"/>
            <w:vAlign w:val="bottom"/>
            <w:tcBorders>
              <w:bottom w:val="single" w:sz="8" w:color="CCEEFF"/>
            </w:tcBorders>
            <w:gridSpan w:val="3"/>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rPr>
              <w:t>2</w:t>
            </w:r>
          </w:p>
        </w:tc>
      </w:tr>
      <w:tr>
        <w:trPr>
          <w:trHeight w:val="175"/>
        </w:trPr>
        <w:tc>
          <w:tcPr>
            <w:tcW w:w="1034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Operations and Comprehensive Loss For the Six and Three Months Ended June 30, 2025 and 2024</w:t>
            </w:r>
          </w:p>
        </w:tc>
        <w:tc>
          <w:tcPr>
            <w:tcW w:w="900" w:type="dxa"/>
            <w:vAlign w:val="bottom"/>
          </w:tcPr>
          <w:p>
            <w:pPr>
              <w:spacing w:after="0"/>
              <w:rPr>
                <w:sz w:val="15"/>
                <w:szCs w:val="15"/>
                <w:color w:val="auto"/>
              </w:rPr>
            </w:pPr>
          </w:p>
        </w:tc>
      </w:tr>
      <w:tr>
        <w:trPr>
          <w:trHeight w:val="196"/>
        </w:trPr>
        <w:tc>
          <w:tcPr>
            <w:tcW w:w="160" w:type="dxa"/>
            <w:vAlign w:val="bottom"/>
            <w:tcBorders>
              <w:top w:val="single" w:sz="8" w:color="0000EE"/>
            </w:tcBorders>
          </w:tcPr>
          <w:p>
            <w:pPr>
              <w:spacing w:after="0"/>
              <w:rPr>
                <w:sz w:val="17"/>
                <w:szCs w:val="17"/>
                <w:color w:val="auto"/>
              </w:rPr>
            </w:pPr>
          </w:p>
        </w:tc>
        <w:tc>
          <w:tcPr>
            <w:tcW w:w="9840" w:type="dxa"/>
            <w:vAlign w:val="bottom"/>
            <w:tcBorders>
              <w:top w:val="single" w:sz="8" w:color="0000EE"/>
            </w:tcBorders>
            <w:gridSpan w:val="6"/>
          </w:tcPr>
          <w:p>
            <w:pPr>
              <w:ind w:left="20"/>
              <w:spacing w:after="0" w:line="196" w:lineRule="exact"/>
              <w:rPr>
                <w:sz w:val="20"/>
                <w:szCs w:val="20"/>
                <w:color w:val="auto"/>
              </w:rPr>
            </w:pPr>
            <w:r>
              <w:rPr>
                <w:rFonts w:ascii="Times New Roman" w:cs="Times New Roman" w:eastAsia="Times New Roman" w:hAnsi="Times New Roman"/>
                <w:sz w:val="18"/>
                <w:szCs w:val="18"/>
                <w:color w:val="0000EE"/>
              </w:rPr>
              <w:t>(Unaudited)</w:t>
            </w:r>
          </w:p>
        </w:tc>
        <w:tc>
          <w:tcPr>
            <w:tcW w:w="340" w:type="dxa"/>
            <w:vAlign w:val="bottom"/>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21"/>
        </w:trPr>
        <w:tc>
          <w:tcPr>
            <w:tcW w:w="160" w:type="dxa"/>
            <w:vAlign w:val="bottom"/>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5"/>
        </w:trPr>
        <w:tc>
          <w:tcPr>
            <w:tcW w:w="1034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Changes in Stockholders’ Equity (Deficit) For the Six and Three Months Ended June 30, 2025 and</w:t>
            </w:r>
          </w:p>
        </w:tc>
        <w:tc>
          <w:tcPr>
            <w:tcW w:w="900" w:type="dxa"/>
            <w:vAlign w:val="bottom"/>
            <w:tcBorders>
              <w:bottom w:val="single" w:sz="8" w:color="CCEEFF"/>
            </w:tcBorders>
            <w:shd w:val="clear" w:color="auto" w:fill="CCEEFF"/>
          </w:tcPr>
          <w:p>
            <w:pPr>
              <w:spacing w:after="0"/>
              <w:rPr>
                <w:sz w:val="15"/>
                <w:szCs w:val="15"/>
                <w:color w:val="auto"/>
              </w:rPr>
            </w:pPr>
          </w:p>
        </w:tc>
      </w:tr>
      <w:tr>
        <w:trPr>
          <w:trHeight w:val="196"/>
        </w:trPr>
        <w:tc>
          <w:tcPr>
            <w:tcW w:w="160" w:type="dxa"/>
            <w:vAlign w:val="bottom"/>
            <w:shd w:val="clear" w:color="auto" w:fill="CCEEFF"/>
          </w:tcPr>
          <w:p>
            <w:pPr>
              <w:spacing w:after="0"/>
              <w:rPr>
                <w:sz w:val="17"/>
                <w:szCs w:val="17"/>
                <w:color w:val="auto"/>
              </w:rPr>
            </w:pPr>
          </w:p>
        </w:tc>
        <w:tc>
          <w:tcPr>
            <w:tcW w:w="10180" w:type="dxa"/>
            <w:vAlign w:val="bottom"/>
            <w:gridSpan w:val="7"/>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0000EE"/>
              </w:rPr>
              <w:t>2024 (Unaudited)</w:t>
            </w:r>
          </w:p>
        </w:tc>
        <w:tc>
          <w:tcPr>
            <w:tcW w:w="90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3480" w:type="dxa"/>
            <w:vAlign w:val="bottom"/>
            <w:tcBorders>
              <w:top w:val="single" w:sz="8" w:color="CCEEFF"/>
            </w:tcBorders>
            <w:shd w:val="clear" w:color="auto" w:fill="CCEEFF"/>
          </w:tcPr>
          <w:p>
            <w:pPr>
              <w:spacing w:after="0" w:line="20" w:lineRule="exact"/>
              <w:rPr>
                <w:sz w:val="1"/>
                <w:szCs w:val="1"/>
                <w:color w:val="auto"/>
              </w:rPr>
            </w:pPr>
          </w:p>
        </w:tc>
        <w:tc>
          <w:tcPr>
            <w:tcW w:w="214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34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 For the Six Months Ended June 30, 2025 and 2024 (Unaudited)</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6</w:t>
            </w:r>
          </w:p>
        </w:tc>
      </w:tr>
      <w:tr>
        <w:trPr>
          <w:trHeight w:val="20"/>
        </w:trPr>
        <w:tc>
          <w:tcPr>
            <w:tcW w:w="16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480" w:type="dxa"/>
            <w:vAlign w:val="bottom"/>
            <w:tcBorders>
              <w:top w:val="single" w:sz="8" w:color="0000EE"/>
            </w:tcBorders>
          </w:tcPr>
          <w:p>
            <w:pPr>
              <w:spacing w:after="0" w:line="20" w:lineRule="exact"/>
              <w:rPr>
                <w:sz w:val="1"/>
                <w:szCs w:val="1"/>
                <w:color w:val="auto"/>
              </w:rPr>
            </w:pPr>
          </w:p>
        </w:tc>
        <w:tc>
          <w:tcPr>
            <w:tcW w:w="214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492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Notes to Condensed Consolidated Financial Statements (Unaudited)</w:t>
            </w:r>
          </w:p>
        </w:tc>
        <w:tc>
          <w:tcPr>
            <w:tcW w:w="5420" w:type="dxa"/>
            <w:vAlign w:val="bottom"/>
            <w:tcBorders>
              <w:bottom w:val="single" w:sz="8" w:color="CCEEFF"/>
            </w:tcBorders>
            <w:gridSpan w:val="4"/>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7</w:t>
            </w:r>
          </w:p>
        </w:tc>
      </w:tr>
      <w:tr>
        <w:trPr>
          <w:trHeight w:val="655"/>
        </w:trPr>
        <w:tc>
          <w:tcPr>
            <w:tcW w:w="7060" w:type="dxa"/>
            <w:vAlign w:val="bottom"/>
            <w:tcBorders>
              <w:bottom w:val="single" w:sz="8" w:color="auto"/>
            </w:tcBorders>
            <w:gridSpan w:val="5"/>
          </w:tcPr>
          <w:p>
            <w:pPr>
              <w:jc w:val="center"/>
              <w:ind w:left="4092"/>
              <w:spacing w:after="0"/>
              <w:rPr>
                <w:sz w:val="20"/>
                <w:szCs w:val="20"/>
                <w:color w:val="auto"/>
              </w:rPr>
            </w:pPr>
            <w:r>
              <w:rPr>
                <w:rFonts w:ascii="Times New Roman" w:cs="Times New Roman" w:eastAsia="Times New Roman" w:hAnsi="Times New Roman"/>
                <w:sz w:val="18"/>
                <w:szCs w:val="18"/>
                <w:color w:val="auto"/>
                <w:w w:val="88"/>
              </w:rPr>
              <w:t>1</w:t>
            </w:r>
          </w:p>
        </w:tc>
        <w:tc>
          <w:tcPr>
            <w:tcW w:w="12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160" w:type="dxa"/>
            <w:vAlign w:val="bottom"/>
          </w:tcPr>
          <w:p>
            <w:pPr>
              <w:spacing w:after="0"/>
              <w:rPr>
                <w:sz w:val="21"/>
                <w:szCs w:val="21"/>
                <w:color w:val="auto"/>
              </w:rPr>
            </w:pPr>
          </w:p>
        </w:tc>
        <w:tc>
          <w:tcPr>
            <w:tcW w:w="96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86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1,548,645</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29,228</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46,300</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34,667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226,377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43,667</w:t>
            </w:r>
          </w:p>
        </w:tc>
        <w:tc>
          <w:tcPr>
            <w:tcW w:w="16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18,332</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1,864,989</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82,227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Offering Costs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1,219,176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Noncurrent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Capitalized Implementation Costs</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389,171</w:t>
            </w:r>
          </w:p>
        </w:tc>
        <w:tc>
          <w:tcPr>
            <w:tcW w:w="16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Other Assets</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389,171</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1,219,301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2,254,160</w:t>
            </w:r>
          </w:p>
        </w:tc>
        <w:tc>
          <w:tcPr>
            <w:tcW w:w="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1,301,528</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 (Deficit)</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1,155,943</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1,929,469</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Due to Officers – Related Party (Note 3)</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2,001</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24,303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1,189,345</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Accrued Payroll</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41,393</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251,043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52,355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193,785</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Share Payable</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6,734</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32,500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94,999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95,238</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Notes Payable (Note 6)</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297,900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Debt – December 2024, Net of Discount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21,719</w:t>
            </w: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Convertible Debt, Net of Discount and Issuance Costs</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5,722,511</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1,353,425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9,757,813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Liabilities</w:t>
            </w:r>
          </w:p>
        </w:tc>
        <w:tc>
          <w:tcPr>
            <w:tcW w:w="10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1,353,425</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9,757,813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4)</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 (Deficit)</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Series A Preferred Stock, $0.0001 Par Value – 200,000 Shares Authorized, No Shares Issued and Outstanding as of</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June 30, 2025 and December 31, 2024</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 24,800,000 Shares Authorized, 0 and 82,096 Shares Issued and Outstanding as</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 June 30, 2025 and December 31, 2024, respectively</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420</w:t>
            </w: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$0.0001 Par Value – 250,000,000 Shares Authorized, 10,822,588 and 7,033,330 Shares Issued and</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as of June 30, 2025 and December 31, 2024, respectively</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15,344</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14,554</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Stock Subscription Receivable</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(3,700)</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18,324,862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6,195,322</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(17,420,592)</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(14,647,702)</w:t>
            </w:r>
          </w:p>
        </w:tc>
        <w:tc>
          <w:tcPr>
            <w:tcW w:w="0" w:type="dxa"/>
            <w:vAlign w:val="bottom"/>
          </w:tcPr>
          <w:p>
            <w:pPr>
              <w:spacing w:after="0"/>
              <w:rPr>
                <w:sz w:val="1"/>
                <w:szCs w:val="1"/>
                <w:color w:val="auto"/>
              </w:rPr>
            </w:pPr>
          </w:p>
        </w:tc>
      </w:tr>
      <w:tr>
        <w:trPr>
          <w:trHeight w:val="162"/>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60"/>
              <w:spacing w:after="0" w:line="162"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88"/>
        </w:trPr>
        <w:tc>
          <w:tcPr>
            <w:tcW w:w="868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40" w:type="dxa"/>
            <w:vAlign w:val="bottom"/>
            <w:gridSpan w:val="2"/>
            <w:shd w:val="clear" w:color="auto" w:fill="CCEEFF"/>
          </w:tcPr>
          <w:p>
            <w:pPr>
              <w:jc w:val="right"/>
              <w:ind w:right="220"/>
              <w:spacing w:after="0" w:line="68" w:lineRule="exact"/>
              <w:rPr>
                <w:sz w:val="20"/>
                <w:szCs w:val="20"/>
                <w:color w:val="auto"/>
              </w:rPr>
            </w:pPr>
            <w:r>
              <w:rPr>
                <w:rFonts w:ascii="Times New Roman" w:cs="Times New Roman" w:eastAsia="Times New Roman" w:hAnsi="Times New Roman"/>
                <w:sz w:val="7"/>
                <w:szCs w:val="7"/>
                <w:color w:val="auto"/>
              </w:rPr>
              <w:t>(15,179</w:t>
            </w:r>
          </w:p>
        </w:tc>
        <w:tc>
          <w:tcPr>
            <w:tcW w:w="160" w:type="dxa"/>
            <w:vAlign w:val="bottom"/>
            <w:shd w:val="clear" w:color="auto" w:fill="CCEEFF"/>
          </w:tcPr>
          <w:p>
            <w:pPr>
              <w:spacing w:after="0"/>
              <w:rPr>
                <w:sz w:val="7"/>
                <w:szCs w:val="7"/>
                <w:color w:val="auto"/>
              </w:rPr>
            </w:pPr>
          </w:p>
        </w:tc>
        <w:tc>
          <w:tcPr>
            <w:tcW w:w="1060" w:type="dxa"/>
            <w:vAlign w:val="bottom"/>
            <w:gridSpan w:val="2"/>
            <w:shd w:val="clear" w:color="auto" w:fill="CCEEFF"/>
          </w:tcPr>
          <w:p>
            <w:pPr>
              <w:jc w:val="right"/>
              <w:ind w:right="21"/>
              <w:spacing w:after="0" w:line="68" w:lineRule="exact"/>
              <w:rPr>
                <w:sz w:val="20"/>
                <w:szCs w:val="20"/>
                <w:color w:val="auto"/>
              </w:rPr>
            </w:pPr>
            <w:r>
              <w:rPr>
                <w:rFonts w:ascii="Times New Roman" w:cs="Times New Roman" w:eastAsia="Times New Roman" w:hAnsi="Times New Roman"/>
                <w:sz w:val="7"/>
                <w:szCs w:val="7"/>
                <w:color w:val="auto"/>
              </w:rPr>
              <w:t>(15,179</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Stockholders’ Equity (Deficit)</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900,735</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(8,456,285</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 (Deficit)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2,254,160</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1,301,528</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560" w:type="dxa"/>
            <w:vAlign w:val="bottom"/>
            <w:gridSpan w:val="5"/>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100" w:type="dxa"/>
            <w:vAlign w:val="bottom"/>
          </w:tcPr>
          <w:p>
            <w:pPr>
              <w:spacing w:after="0"/>
              <w:rPr>
                <w:sz w:val="21"/>
                <w:szCs w:val="21"/>
                <w:color w:val="auto"/>
              </w:rPr>
            </w:pPr>
          </w:p>
        </w:tc>
        <w:tc>
          <w:tcPr>
            <w:tcW w:w="2440" w:type="dxa"/>
            <w:vAlign w:val="bottom"/>
            <w:gridSpan w:val="5"/>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w w:val="98"/>
              </w:rPr>
              <w:t>For the Three Months Ended</w:t>
            </w:r>
          </w:p>
        </w:tc>
      </w:tr>
      <w:tr>
        <w:trPr>
          <w:trHeight w:val="194"/>
        </w:trPr>
        <w:tc>
          <w:tcPr>
            <w:tcW w:w="59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right"/>
              <w:ind w:right="441"/>
              <w:spacing w:after="0" w:line="194"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170"/>
              <w:spacing w:after="0" w:line="194" w:lineRule="exact"/>
              <w:rPr>
                <w:sz w:val="20"/>
                <w:szCs w:val="20"/>
                <w:color w:val="auto"/>
              </w:rPr>
            </w:pPr>
            <w:r>
              <w:rPr>
                <w:rFonts w:ascii="Times New Roman" w:cs="Times New Roman" w:eastAsia="Times New Roman" w:hAnsi="Times New Roman"/>
                <w:sz w:val="18"/>
                <w:szCs w:val="18"/>
                <w:b w:val="1"/>
                <w:bCs w:val="1"/>
                <w:color w:val="auto"/>
              </w:rPr>
              <w:t>June 30,</w:t>
            </w: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right"/>
              <w:ind w:right="381"/>
              <w:spacing w:after="0" w:line="194"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150"/>
              <w:spacing w:after="0" w:line="194"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00" w:type="dxa"/>
            <w:vAlign w:val="bottom"/>
          </w:tcPr>
          <w:p>
            <w:pPr>
              <w:spacing w:after="0"/>
              <w:rPr>
                <w:sz w:val="16"/>
                <w:szCs w:val="16"/>
                <w:color w:val="auto"/>
              </w:rPr>
            </w:pPr>
          </w:p>
        </w:tc>
      </w:tr>
      <w:tr>
        <w:trPr>
          <w:trHeight w:val="245"/>
        </w:trPr>
        <w:tc>
          <w:tcPr>
            <w:tcW w:w="59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Tournament Revenues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Live-streaming Services</w:t>
            </w:r>
          </w:p>
        </w:tc>
        <w:tc>
          <w:tcPr>
            <w:tcW w:w="160" w:type="dxa"/>
            <w:vAlign w:val="bottom"/>
          </w:tcPr>
          <w:p>
            <w:pPr>
              <w:spacing w:after="0"/>
              <w:rPr>
                <w:sz w:val="20"/>
                <w:szCs w:val="20"/>
                <w:color w:val="auto"/>
              </w:rPr>
            </w:pPr>
          </w:p>
        </w:tc>
        <w:tc>
          <w:tcPr>
            <w:tcW w:w="12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Sales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Cost of Sales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598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Gross Profit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(409)</w:t>
            </w:r>
          </w:p>
        </w:tc>
        <w:tc>
          <w:tcPr>
            <w:tcW w:w="220" w:type="dxa"/>
            <w:vAlign w:val="bottom"/>
          </w:tcPr>
          <w:p>
            <w:pPr>
              <w:spacing w:after="0"/>
              <w:rPr>
                <w:sz w:val="17"/>
                <w:szCs w:val="17"/>
                <w:color w:val="auto"/>
              </w:rPr>
            </w:pPr>
          </w:p>
        </w:tc>
        <w:tc>
          <w:tcPr>
            <w:tcW w:w="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1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r>
      <w:tr>
        <w:trPr>
          <w:trHeight w:val="216"/>
        </w:trPr>
        <w:tc>
          <w:tcPr>
            <w:tcW w:w="5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Advertising and Marketing</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293,756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212,306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Legal and Professional</w:t>
            </w:r>
          </w:p>
        </w:tc>
        <w:tc>
          <w:tcPr>
            <w:tcW w:w="160" w:type="dxa"/>
            <w:vAlign w:val="bottom"/>
          </w:tcPr>
          <w:p>
            <w:pPr>
              <w:spacing w:after="0"/>
              <w:rPr>
                <w:sz w:val="18"/>
                <w:szCs w:val="18"/>
                <w:color w:val="auto"/>
              </w:rPr>
            </w:pPr>
          </w:p>
        </w:tc>
        <w:tc>
          <w:tcPr>
            <w:tcW w:w="12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468,769</w:t>
            </w:r>
          </w:p>
        </w:tc>
        <w:tc>
          <w:tcPr>
            <w:tcW w:w="14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261,752</w:t>
            </w:r>
          </w:p>
        </w:tc>
        <w:tc>
          <w:tcPr>
            <w:tcW w:w="10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330,445</w:t>
            </w:r>
          </w:p>
        </w:tc>
        <w:tc>
          <w:tcPr>
            <w:tcW w:w="180" w:type="dxa"/>
            <w:vAlign w:val="bottom"/>
          </w:tcPr>
          <w:p>
            <w:pPr>
              <w:spacing w:after="0"/>
              <w:rPr>
                <w:sz w:val="18"/>
                <w:szCs w:val="18"/>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209,294</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881,611</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273,795</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624,452</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151,350</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Software Expense</w:t>
            </w:r>
          </w:p>
        </w:tc>
        <w:tc>
          <w:tcPr>
            <w:tcW w:w="160" w:type="dxa"/>
            <w:vAlign w:val="bottom"/>
          </w:tcPr>
          <w:p>
            <w:pPr>
              <w:spacing w:after="0"/>
              <w:rPr>
                <w:sz w:val="18"/>
                <w:szCs w:val="18"/>
                <w:color w:val="auto"/>
              </w:rPr>
            </w:pPr>
          </w:p>
        </w:tc>
        <w:tc>
          <w:tcPr>
            <w:tcW w:w="12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225,335</w:t>
            </w:r>
          </w:p>
        </w:tc>
        <w:tc>
          <w:tcPr>
            <w:tcW w:w="14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160,684</w:t>
            </w:r>
          </w:p>
        </w:tc>
        <w:tc>
          <w:tcPr>
            <w:tcW w:w="180" w:type="dxa"/>
            <w:vAlign w:val="bottom"/>
          </w:tcPr>
          <w:p>
            <w:pPr>
              <w:spacing w:after="0"/>
              <w:rPr>
                <w:sz w:val="18"/>
                <w:szCs w:val="18"/>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 Development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1,163</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12,838</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777</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1,952</w:t>
            </w: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60" w:type="dxa"/>
            <w:vAlign w:val="bottom"/>
          </w:tcPr>
          <w:p>
            <w:pPr>
              <w:spacing w:after="0"/>
              <w:rPr>
                <w:sz w:val="20"/>
                <w:szCs w:val="20"/>
                <w:color w:val="auto"/>
              </w:rPr>
            </w:pPr>
          </w:p>
        </w:tc>
        <w:tc>
          <w:tcPr>
            <w:tcW w:w="12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355,571</w:t>
            </w:r>
          </w:p>
        </w:tc>
        <w:tc>
          <w:tcPr>
            <w:tcW w:w="140" w:type="dxa"/>
            <w:vAlign w:val="bottom"/>
          </w:tcPr>
          <w:p>
            <w:pPr>
              <w:spacing w:after="0"/>
              <w:rPr>
                <w:sz w:val="20"/>
                <w:szCs w:val="20"/>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92,032</w:t>
            </w:r>
          </w:p>
        </w:tc>
        <w:tc>
          <w:tcPr>
            <w:tcW w:w="10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313,071</w:t>
            </w:r>
          </w:p>
        </w:tc>
        <w:tc>
          <w:tcPr>
            <w:tcW w:w="180" w:type="dxa"/>
            <w:vAlign w:val="bottom"/>
          </w:tcPr>
          <w:p>
            <w:pPr>
              <w:spacing w:after="0"/>
              <w:rPr>
                <w:sz w:val="20"/>
                <w:szCs w:val="20"/>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46,016</w:t>
            </w: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2,226,205</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640,417</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1,641,735</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408,612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and Amortization of Debt Discount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438,709</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1,280,974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478,822</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(71,310)</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(828)</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(69,709)</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160" w:type="dxa"/>
            <w:vAlign w:val="bottom"/>
          </w:tcPr>
          <w:p>
            <w:pPr>
              <w:spacing w:after="0"/>
              <w:rPr>
                <w:sz w:val="18"/>
                <w:szCs w:val="18"/>
                <w:color w:val="auto"/>
              </w:rPr>
            </w:pPr>
          </w:p>
        </w:tc>
        <w:tc>
          <w:tcPr>
            <w:tcW w:w="12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46,406</w:t>
            </w:r>
          </w:p>
        </w:tc>
        <w:tc>
          <w:tcPr>
            <w:tcW w:w="14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 Stock-Based Compensation Liability</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133,331</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133,331</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(Gain) Loss</w:t>
            </w:r>
          </w:p>
        </w:tc>
        <w:tc>
          <w:tcPr>
            <w:tcW w:w="160" w:type="dxa"/>
            <w:vAlign w:val="bottom"/>
          </w:tcPr>
          <w:p>
            <w:pPr>
              <w:spacing w:after="0"/>
              <w:rPr>
                <w:sz w:val="20"/>
                <w:szCs w:val="20"/>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(451)</w:t>
            </w:r>
          </w:p>
        </w:tc>
        <w:tc>
          <w:tcPr>
            <w:tcW w:w="140" w:type="dxa"/>
            <w:vAlign w:val="bottom"/>
          </w:tcPr>
          <w:p>
            <w:pPr>
              <w:spacing w:after="0"/>
              <w:rPr>
                <w:sz w:val="20"/>
                <w:szCs w:val="20"/>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20"/>
                <w:szCs w:val="20"/>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(140)</w:t>
            </w:r>
          </w:p>
        </w:tc>
        <w:tc>
          <w:tcPr>
            <w:tcW w:w="180" w:type="dxa"/>
            <w:vAlign w:val="bottom"/>
          </w:tcPr>
          <w:p>
            <w:pPr>
              <w:spacing w:after="0"/>
              <w:rPr>
                <w:sz w:val="20"/>
                <w:szCs w:val="20"/>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Other Expense, Net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546,685</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1,280,298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63,482</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478,351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598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Loss from Continuing Operations Before Income Taxes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(2,772,890)</w:t>
            </w:r>
          </w:p>
        </w:tc>
        <w:tc>
          <w:tcPr>
            <w:tcW w:w="2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(1,921,124)</w:t>
            </w:r>
          </w:p>
        </w:tc>
        <w:tc>
          <w:tcPr>
            <w:tcW w:w="220" w:type="dxa"/>
            <w:vAlign w:val="bottom"/>
          </w:tcPr>
          <w:p>
            <w:pPr>
              <w:spacing w:after="0"/>
              <w:rPr>
                <w:sz w:val="17"/>
                <w:szCs w:val="17"/>
                <w:color w:val="auto"/>
              </w:rPr>
            </w:pPr>
          </w:p>
        </w:tc>
        <w:tc>
          <w:tcPr>
            <w:tcW w:w="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(1,705,217)</w:t>
            </w:r>
          </w:p>
        </w:tc>
        <w:tc>
          <w:tcPr>
            <w:tcW w:w="220" w:type="dxa"/>
            <w:vAlign w:val="bottom"/>
          </w:tcPr>
          <w:p>
            <w:pPr>
              <w:spacing w:after="0"/>
              <w:rPr>
                <w:sz w:val="17"/>
                <w:szCs w:val="17"/>
                <w:color w:val="auto"/>
              </w:rPr>
            </w:pPr>
          </w:p>
        </w:tc>
        <w:tc>
          <w:tcPr>
            <w:tcW w:w="1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(886,963)</w:t>
            </w:r>
          </w:p>
        </w:tc>
        <w:tc>
          <w:tcPr>
            <w:tcW w:w="100" w:type="dxa"/>
            <w:vAlign w:val="bottom"/>
          </w:tcPr>
          <w:p>
            <w:pPr>
              <w:spacing w:after="0"/>
              <w:rPr>
                <w:sz w:val="17"/>
                <w:szCs w:val="17"/>
                <w:color w:val="auto"/>
              </w:rPr>
            </w:pPr>
          </w:p>
        </w:tc>
      </w:tr>
      <w:tr>
        <w:trPr>
          <w:trHeight w:val="25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70,000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70,000</w:t>
            </w:r>
          </w:p>
        </w:tc>
      </w:tr>
      <w:tr>
        <w:trPr>
          <w:trHeight w:val="210"/>
        </w:trPr>
        <w:tc>
          <w:tcPr>
            <w:tcW w:w="59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Loss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(2,772,890</w:t>
            </w:r>
          </w:p>
        </w:tc>
        <w:tc>
          <w:tcPr>
            <w:tcW w:w="260" w:type="dxa"/>
            <w:vAlign w:val="bottom"/>
            <w:tcBorders>
              <w:top w:val="single" w:sz="8" w:color="CCEEFF"/>
              <w:bottom w:val="single" w:sz="8" w:color="CCEEFF"/>
            </w:tcBorders>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(1,991,124</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(1,705,217</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(956,963</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50"/>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(2,772,890</w:t>
            </w:r>
          </w:p>
        </w:tc>
        <w:tc>
          <w:tcPr>
            <w:tcW w:w="26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(1,991,124</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(1,705,217</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(956,963</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
        </w:trPr>
        <w:tc>
          <w:tcPr>
            <w:tcW w:w="5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per Common Share – Basic and Diluted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(0.30)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(0.35)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(0.16)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(0.17)</w:t>
            </w:r>
          </w:p>
        </w:tc>
      </w:tr>
      <w:tr>
        <w:trPr>
          <w:trHeight w:val="238"/>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Outstanding – Basic and Diluted</w:t>
            </w:r>
          </w:p>
        </w:tc>
        <w:tc>
          <w:tcPr>
            <w:tcW w:w="160" w:type="dxa"/>
            <w:vAlign w:val="bottom"/>
          </w:tcPr>
          <w:p>
            <w:pPr>
              <w:spacing w:after="0"/>
              <w:rPr>
                <w:sz w:val="20"/>
                <w:szCs w:val="20"/>
                <w:color w:val="auto"/>
              </w:rPr>
            </w:pPr>
          </w:p>
        </w:tc>
        <w:tc>
          <w:tcPr>
            <w:tcW w:w="12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9,238,766</w:t>
            </w:r>
          </w:p>
        </w:tc>
        <w:tc>
          <w:tcPr>
            <w:tcW w:w="140" w:type="dxa"/>
            <w:vAlign w:val="bottom"/>
          </w:tcPr>
          <w:p>
            <w:pPr>
              <w:spacing w:after="0"/>
              <w:rPr>
                <w:sz w:val="20"/>
                <w:szCs w:val="20"/>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5,632,037</w:t>
            </w:r>
          </w:p>
        </w:tc>
        <w:tc>
          <w:tcPr>
            <w:tcW w:w="10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10,776,595</w:t>
            </w:r>
          </w:p>
        </w:tc>
        <w:tc>
          <w:tcPr>
            <w:tcW w:w="180" w:type="dxa"/>
            <w:vAlign w:val="bottom"/>
          </w:tcPr>
          <w:p>
            <w:pPr>
              <w:spacing w:after="0"/>
              <w:rPr>
                <w:sz w:val="20"/>
                <w:szCs w:val="20"/>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5,626,941</w:t>
            </w:r>
          </w:p>
        </w:tc>
      </w:tr>
    </w:tbl>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 (DEFICIT)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SIX AND THREE MONTHS ENDED JUNE 30, 2025 AND 2024</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2300" w:type="dxa"/>
            <w:vAlign w:val="bottom"/>
            <w:gridSpan w:val="5"/>
          </w:tcPr>
          <w:p>
            <w:pPr>
              <w:ind w:left="760"/>
              <w:spacing w:after="0"/>
              <w:rPr>
                <w:sz w:val="20"/>
                <w:szCs w:val="20"/>
                <w:color w:val="auto"/>
              </w:rPr>
            </w:pPr>
            <w:r>
              <w:rPr>
                <w:rFonts w:ascii="Times New Roman" w:cs="Times New Roman" w:eastAsia="Times New Roman" w:hAnsi="Times New Roman"/>
                <w:sz w:val="18"/>
                <w:szCs w:val="18"/>
                <w:b w:val="1"/>
                <w:bCs w:val="1"/>
                <w:color w:val="auto"/>
              </w:rPr>
              <w:t>Series A</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620" w:type="dxa"/>
            <w:vAlign w:val="bottom"/>
          </w:tcPr>
          <w:p>
            <w:pPr>
              <w:spacing w:after="0"/>
              <w:rPr>
                <w:sz w:val="21"/>
                <w:szCs w:val="21"/>
                <w:color w:val="auto"/>
              </w:rPr>
            </w:pPr>
          </w:p>
        </w:tc>
        <w:tc>
          <w:tcPr>
            <w:tcW w:w="2300" w:type="dxa"/>
            <w:vAlign w:val="bottom"/>
            <w:gridSpan w:val="5"/>
          </w:tcPr>
          <w:p>
            <w:pPr>
              <w:ind w:left="480"/>
              <w:spacing w:after="0"/>
              <w:rPr>
                <w:sz w:val="20"/>
                <w:szCs w:val="20"/>
                <w:color w:val="auto"/>
              </w:rPr>
            </w:pPr>
            <w:r>
              <w:rPr>
                <w:rFonts w:ascii="Times New Roman" w:cs="Times New Roman" w:eastAsia="Times New Roman" w:hAnsi="Times New Roman"/>
                <w:sz w:val="18"/>
                <w:szCs w:val="18"/>
                <w:b w:val="1"/>
                <w:bCs w:val="1"/>
                <w:color w:val="auto"/>
              </w:rPr>
              <w:t>Preferred Stock</w:t>
            </w:r>
          </w:p>
        </w:tc>
        <w:tc>
          <w:tcPr>
            <w:tcW w:w="2300" w:type="dxa"/>
            <w:vAlign w:val="bottom"/>
            <w:gridSpan w:val="6"/>
          </w:tcPr>
          <w:p>
            <w:pPr>
              <w:ind w:left="420"/>
              <w:spacing w:after="0"/>
              <w:rPr>
                <w:sz w:val="20"/>
                <w:szCs w:val="20"/>
                <w:color w:val="auto"/>
              </w:rPr>
            </w:pPr>
            <w:r>
              <w:rPr>
                <w:rFonts w:ascii="Times New Roman" w:cs="Times New Roman" w:eastAsia="Times New Roman" w:hAnsi="Times New Roman"/>
                <w:sz w:val="18"/>
                <w:szCs w:val="18"/>
                <w:b w:val="1"/>
                <w:bCs w:val="1"/>
                <w:color w:val="auto"/>
              </w:rPr>
              <w:t>Preferred Stock</w:t>
            </w:r>
          </w:p>
        </w:tc>
        <w:tc>
          <w:tcPr>
            <w:tcW w:w="2020" w:type="dxa"/>
            <w:vAlign w:val="bottom"/>
            <w:gridSpan w:val="5"/>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0" w:type="dxa"/>
            <w:vAlign w:val="bottom"/>
          </w:tcPr>
          <w:p>
            <w:pPr>
              <w:spacing w:after="0"/>
              <w:rPr>
                <w:sz w:val="1"/>
                <w:szCs w:val="1"/>
                <w:color w:val="auto"/>
              </w:rPr>
            </w:pPr>
          </w:p>
        </w:tc>
      </w:tr>
      <w:tr>
        <w:trPr>
          <w:trHeight w:val="237"/>
        </w:trPr>
        <w:tc>
          <w:tcPr>
            <w:tcW w:w="4620" w:type="dxa"/>
            <w:vAlign w:val="bottom"/>
          </w:tcPr>
          <w:p>
            <w:pPr>
              <w:spacing w:after="0"/>
              <w:rPr>
                <w:sz w:val="20"/>
                <w:szCs w:val="20"/>
                <w:color w:val="auto"/>
              </w:rPr>
            </w:pPr>
          </w:p>
        </w:tc>
        <w:tc>
          <w:tcPr>
            <w:tcW w:w="1160" w:type="dxa"/>
            <w:vAlign w:val="bottom"/>
            <w:tcBorders>
              <w:top w:val="single" w:sz="8" w:color="auto"/>
            </w:tcBorders>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1100" w:type="dxa"/>
            <w:vAlign w:val="bottom"/>
            <w:tcBorders>
              <w:top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on December 31, 2024</w:t>
            </w:r>
          </w:p>
        </w:tc>
        <w:tc>
          <w:tcPr>
            <w:tcW w:w="920" w:type="dxa"/>
            <w:vAlign w:val="bottom"/>
            <w:tcBorders>
              <w:top w:val="single" w:sz="8" w:color="auto"/>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right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82,096</w:t>
            </w:r>
          </w:p>
        </w:tc>
        <w:tc>
          <w:tcPr>
            <w:tcW w:w="20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420</w:t>
            </w:r>
          </w:p>
        </w:tc>
        <w:tc>
          <w:tcPr>
            <w:tcW w:w="22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7,033,330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14,554</w:t>
            </w:r>
          </w:p>
        </w:tc>
        <w:tc>
          <w:tcPr>
            <w:tcW w:w="100" w:type="dxa"/>
            <w:vAlign w:val="bottom"/>
            <w:tcBorders>
              <w:top w:val="single" w:sz="8" w:color="CCEEFF"/>
              <w:left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6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Stock-Based Compensation - Restricted Stock Agreements</w:t>
            </w:r>
          </w:p>
        </w:tc>
        <w:tc>
          <w:tcPr>
            <w:tcW w:w="920" w:type="dxa"/>
            <w:vAlign w:val="bottom"/>
          </w:tcPr>
          <w:p>
            <w:pPr>
              <w:ind w:left="74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ind w:left="60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w:t>
            </w:r>
          </w:p>
        </w:tc>
        <w:tc>
          <w:tcPr>
            <w:tcW w:w="11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Offering Costs</w:t>
            </w:r>
          </w:p>
        </w:tc>
        <w:tc>
          <w:tcPr>
            <w:tcW w:w="116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of Preferred Stock to Common Stock</w:t>
            </w:r>
          </w:p>
        </w:tc>
        <w:tc>
          <w:tcPr>
            <w:tcW w:w="11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(82,096)</w:t>
            </w:r>
          </w:p>
        </w:tc>
        <w:tc>
          <w:tcPr>
            <w:tcW w:w="1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(420)</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82,096</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Conversion of Convertible Debt and Accrued</w:t>
            </w: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(Note 6)</w:t>
            </w:r>
          </w:p>
        </w:tc>
        <w:tc>
          <w:tcPr>
            <w:tcW w:w="116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1,912,176</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in Connection with IPO and</w:t>
            </w: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Over-allotment, Net of $1,176,800 of Offering Costs</w:t>
            </w:r>
          </w:p>
        </w:tc>
        <w:tc>
          <w:tcPr>
            <w:tcW w:w="11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20" w:type="dxa"/>
            <w:vAlign w:val="bottom"/>
            <w:tcBorders>
              <w:right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1,696,250</w:t>
            </w: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Underwriter Warrants</w:t>
            </w:r>
          </w:p>
        </w:tc>
        <w:tc>
          <w:tcPr>
            <w:tcW w:w="116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 for Services</w:t>
            </w:r>
          </w:p>
        </w:tc>
        <w:tc>
          <w:tcPr>
            <w:tcW w:w="11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16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on March 31, 2025</w:t>
            </w:r>
          </w:p>
        </w:tc>
        <w:tc>
          <w:tcPr>
            <w:tcW w:w="920" w:type="dxa"/>
            <w:vAlign w:val="bottom"/>
            <w:tcBorders>
              <w:top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right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10,723,908</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15,334</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16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Shares Payable - Subscription</w:t>
            </w:r>
          </w:p>
        </w:tc>
        <w:tc>
          <w:tcPr>
            <w:tcW w:w="11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6,250</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 for Services</w:t>
            </w:r>
          </w:p>
        </w:tc>
        <w:tc>
          <w:tcPr>
            <w:tcW w:w="116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50,000</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Conversion of Convertible Debt and Accrued Interest (Note</w:t>
            </w: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6)</w:t>
            </w:r>
          </w:p>
        </w:tc>
        <w:tc>
          <w:tcPr>
            <w:tcW w:w="11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20" w:type="dxa"/>
            <w:vAlign w:val="bottom"/>
            <w:tcBorders>
              <w:right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42,430</w:t>
            </w: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16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6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on June 30, 2025</w:t>
            </w: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tcBorders>
              <w:right w:val="single" w:sz="8" w:color="CCEEFF"/>
            </w:tcBorders>
            <w:shd w:val="clear" w:color="auto" w:fill="000000"/>
          </w:tcPr>
          <w:p>
            <w:pPr>
              <w:spacing w:after="0"/>
              <w:rPr>
                <w:sz w:val="2"/>
                <w:szCs w:val="2"/>
                <w:color w:val="auto"/>
              </w:rPr>
            </w:pPr>
          </w:p>
        </w:tc>
        <w:tc>
          <w:tcPr>
            <w:tcW w:w="220" w:type="dxa"/>
            <w:vAlign w:val="bottom"/>
            <w:tcBorders>
              <w:right w:val="single" w:sz="8" w:color="auto"/>
            </w:tcBorders>
            <w:shd w:val="clear" w:color="auto" w:fill="CCEEFF"/>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tcBorders>
              <w:right w:val="single" w:sz="8" w:color="CCEEFF"/>
            </w:tcBorders>
            <w:shd w:val="clear" w:color="auto" w:fill="000000"/>
          </w:tcPr>
          <w:p>
            <w:pPr>
              <w:spacing w:after="0"/>
              <w:rPr>
                <w:sz w:val="2"/>
                <w:szCs w:val="2"/>
                <w:color w:val="auto"/>
              </w:rPr>
            </w:pPr>
          </w:p>
        </w:tc>
        <w:tc>
          <w:tcPr>
            <w:tcW w:w="22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4620" w:type="dxa"/>
            <w:vAlign w:val="bottom"/>
            <w:vMerge w:val="continue"/>
            <w:shd w:val="clear" w:color="auto" w:fill="CCEEFF"/>
          </w:tcPr>
          <w:p>
            <w:pPr>
              <w:spacing w:after="0"/>
              <w:rPr>
                <w:sz w:val="22"/>
                <w:szCs w:val="22"/>
                <w:color w:val="auto"/>
              </w:rPr>
            </w:pPr>
          </w:p>
        </w:tc>
        <w:tc>
          <w:tcPr>
            <w:tcW w:w="11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right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6"/>
              </w:rPr>
              <w:t>10,822,588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15,344</w:t>
            </w:r>
          </w:p>
        </w:tc>
        <w:tc>
          <w:tcPr>
            <w:tcW w:w="100" w:type="dxa"/>
            <w:vAlign w:val="bottom"/>
            <w:tcBorders>
              <w:left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0"/>
        </w:trPr>
        <w:tc>
          <w:tcPr>
            <w:tcW w:w="4620" w:type="dxa"/>
            <w:vAlign w:val="bottom"/>
          </w:tcPr>
          <w:p>
            <w:pPr>
              <w:spacing w:after="0"/>
              <w:rPr>
                <w:sz w:val="24"/>
                <w:szCs w:val="24"/>
                <w:color w:val="auto"/>
              </w:rPr>
            </w:pPr>
          </w:p>
        </w:tc>
        <w:tc>
          <w:tcPr>
            <w:tcW w:w="2300" w:type="dxa"/>
            <w:vAlign w:val="bottom"/>
            <w:gridSpan w:val="5"/>
          </w:tcPr>
          <w:p>
            <w:pPr>
              <w:ind w:left="700"/>
              <w:spacing w:after="0"/>
              <w:rPr>
                <w:sz w:val="20"/>
                <w:szCs w:val="20"/>
                <w:color w:val="auto"/>
              </w:rPr>
            </w:pPr>
            <w:r>
              <w:rPr>
                <w:rFonts w:ascii="Times New Roman" w:cs="Times New Roman" w:eastAsia="Times New Roman" w:hAnsi="Times New Roman"/>
                <w:sz w:val="18"/>
                <w:szCs w:val="18"/>
                <w:b w:val="1"/>
                <w:bCs w:val="1"/>
                <w:color w:val="auto"/>
              </w:rPr>
              <w:t>Series A</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4620" w:type="dxa"/>
            <w:vAlign w:val="bottom"/>
          </w:tcPr>
          <w:p>
            <w:pPr>
              <w:spacing w:after="0"/>
              <w:rPr>
                <w:sz w:val="21"/>
                <w:szCs w:val="21"/>
                <w:color w:val="auto"/>
              </w:rPr>
            </w:pPr>
          </w:p>
        </w:tc>
        <w:tc>
          <w:tcPr>
            <w:tcW w:w="2300" w:type="dxa"/>
            <w:vAlign w:val="bottom"/>
            <w:gridSpan w:val="5"/>
          </w:tcPr>
          <w:p>
            <w:pPr>
              <w:ind w:left="440"/>
              <w:spacing w:after="0"/>
              <w:rPr>
                <w:sz w:val="20"/>
                <w:szCs w:val="20"/>
                <w:color w:val="auto"/>
              </w:rPr>
            </w:pPr>
            <w:r>
              <w:rPr>
                <w:rFonts w:ascii="Times New Roman" w:cs="Times New Roman" w:eastAsia="Times New Roman" w:hAnsi="Times New Roman"/>
                <w:sz w:val="18"/>
                <w:szCs w:val="18"/>
                <w:b w:val="1"/>
                <w:bCs w:val="1"/>
                <w:color w:val="auto"/>
              </w:rPr>
              <w:t>Preferred Stock</w:t>
            </w:r>
          </w:p>
        </w:tc>
        <w:tc>
          <w:tcPr>
            <w:tcW w:w="2300" w:type="dxa"/>
            <w:vAlign w:val="bottom"/>
            <w:gridSpan w:val="6"/>
          </w:tcPr>
          <w:p>
            <w:pPr>
              <w:ind w:left="400"/>
              <w:spacing w:after="0"/>
              <w:rPr>
                <w:sz w:val="20"/>
                <w:szCs w:val="20"/>
                <w:color w:val="auto"/>
              </w:rPr>
            </w:pPr>
            <w:r>
              <w:rPr>
                <w:rFonts w:ascii="Times New Roman" w:cs="Times New Roman" w:eastAsia="Times New Roman" w:hAnsi="Times New Roman"/>
                <w:sz w:val="18"/>
                <w:szCs w:val="18"/>
                <w:b w:val="1"/>
                <w:bCs w:val="1"/>
                <w:color w:val="auto"/>
              </w:rPr>
              <w:t>Preferred Stock</w:t>
            </w:r>
          </w:p>
        </w:tc>
        <w:tc>
          <w:tcPr>
            <w:tcW w:w="2020" w:type="dxa"/>
            <w:vAlign w:val="bottom"/>
            <w:gridSpan w:val="5"/>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0" w:type="dxa"/>
            <w:vAlign w:val="bottom"/>
          </w:tcPr>
          <w:p>
            <w:pPr>
              <w:spacing w:after="0"/>
              <w:rPr>
                <w:sz w:val="1"/>
                <w:szCs w:val="1"/>
                <w:color w:val="auto"/>
              </w:rPr>
            </w:pPr>
          </w:p>
        </w:tc>
      </w:tr>
      <w:tr>
        <w:trPr>
          <w:trHeight w:val="237"/>
        </w:trPr>
        <w:tc>
          <w:tcPr>
            <w:tcW w:w="4620" w:type="dxa"/>
            <w:vAlign w:val="bottom"/>
          </w:tcPr>
          <w:p>
            <w:pPr>
              <w:spacing w:after="0"/>
              <w:rPr>
                <w:sz w:val="20"/>
                <w:szCs w:val="20"/>
                <w:color w:val="auto"/>
              </w:rPr>
            </w:pPr>
          </w:p>
        </w:tc>
        <w:tc>
          <w:tcPr>
            <w:tcW w:w="116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1100" w:type="dxa"/>
            <w:vAlign w:val="bottom"/>
            <w:tcBorders>
              <w:top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on December 31, 2023</w:t>
            </w:r>
          </w:p>
        </w:tc>
        <w:tc>
          <w:tcPr>
            <w:tcW w:w="920" w:type="dxa"/>
            <w:vAlign w:val="bottom"/>
            <w:tcBorders>
              <w:top w:val="single" w:sz="8" w:color="auto"/>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right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8"/>
                <w:szCs w:val="18"/>
                <w:b w:val="1"/>
                <w:bCs w:val="1"/>
                <w:color w:val="auto"/>
                <w:w w:val="77"/>
              </w:rPr>
              <w:t>—</w:t>
            </w:r>
          </w:p>
        </w:tc>
        <w:tc>
          <w:tcPr>
            <w:tcW w:w="22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82,096</w:t>
            </w:r>
          </w:p>
        </w:tc>
        <w:tc>
          <w:tcPr>
            <w:tcW w:w="20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420</w:t>
            </w:r>
          </w:p>
        </w:tc>
        <w:tc>
          <w:tcPr>
            <w:tcW w:w="22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5,744,929</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14,794</w:t>
            </w:r>
          </w:p>
        </w:tc>
        <w:tc>
          <w:tcPr>
            <w:tcW w:w="100" w:type="dxa"/>
            <w:vAlign w:val="bottom"/>
            <w:tcBorders>
              <w:top w:val="single" w:sz="8" w:color="CCEEFF"/>
              <w:left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6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Stock-Based Compensation - Restricted Stock Agreements</w:t>
            </w:r>
          </w:p>
        </w:tc>
        <w:tc>
          <w:tcPr>
            <w:tcW w:w="920" w:type="dxa"/>
            <w:vAlign w:val="bottom"/>
          </w:tcPr>
          <w:p>
            <w:pPr>
              <w:ind w:left="74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ind w:left="620"/>
              <w:spacing w:after="0" w:line="203" w:lineRule="exact"/>
              <w:rPr>
                <w:sz w:val="20"/>
                <w:szCs w:val="20"/>
                <w:color w:val="auto"/>
              </w:rPr>
            </w:pPr>
            <w:r>
              <w:rPr>
                <w:rFonts w:ascii="Times New Roman" w:cs="Times New Roman" w:eastAsia="Times New Roman" w:hAnsi="Times New Roman"/>
                <w:sz w:val="18"/>
                <w:szCs w:val="18"/>
                <w:color w:val="auto"/>
                <w:w w:val="77"/>
              </w:rPr>
              <w:t>—</w:t>
            </w:r>
          </w:p>
        </w:tc>
        <w:tc>
          <w:tcPr>
            <w:tcW w:w="22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1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20" w:type="dxa"/>
            <w:vAlign w:val="bottom"/>
            <w:tcBorders>
              <w:right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46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Balance on March 31, 2024</w:t>
            </w:r>
          </w:p>
        </w:tc>
        <w:tc>
          <w:tcPr>
            <w:tcW w:w="920" w:type="dxa"/>
            <w:vAlign w:val="bottom"/>
            <w:tcBorders>
              <w:top w:val="single" w:sz="8" w:color="auto"/>
            </w:tcBorders>
          </w:tcPr>
          <w:p>
            <w:pPr>
              <w:ind w:left="74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2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tcBorders>
          </w:tcPr>
          <w:p>
            <w:pPr>
              <w:ind w:left="620"/>
              <w:spacing w:after="0" w:line="203" w:lineRule="exact"/>
              <w:rPr>
                <w:sz w:val="20"/>
                <w:szCs w:val="20"/>
                <w:color w:val="auto"/>
              </w:rPr>
            </w:pPr>
            <w:r>
              <w:rPr>
                <w:rFonts w:ascii="Times New Roman" w:cs="Times New Roman" w:eastAsia="Times New Roman" w:hAnsi="Times New Roman"/>
                <w:sz w:val="18"/>
                <w:szCs w:val="18"/>
                <w:b w:val="1"/>
                <w:bCs w:val="1"/>
                <w:color w:val="auto"/>
                <w:w w:val="77"/>
              </w:rPr>
              <w:t>—</w:t>
            </w:r>
          </w:p>
        </w:tc>
        <w:tc>
          <w:tcPr>
            <w:tcW w:w="220" w:type="dxa"/>
            <w:vAlign w:val="bottom"/>
            <w:tcBorders>
              <w:top w:val="single" w:sz="8" w:color="CCEEFF"/>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82,096</w:t>
            </w: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420</w:t>
            </w:r>
          </w:p>
        </w:tc>
        <w:tc>
          <w:tcPr>
            <w:tcW w:w="22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5,744,929</w:t>
            </w: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14,794</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1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Offering Costs</w:t>
            </w:r>
          </w:p>
        </w:tc>
        <w:tc>
          <w:tcPr>
            <w:tcW w:w="116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Shares Payable</w:t>
            </w:r>
          </w:p>
        </w:tc>
        <w:tc>
          <w:tcPr>
            <w:tcW w:w="11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165,005</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Retirement of Shares</w:t>
            </w:r>
          </w:p>
        </w:tc>
        <w:tc>
          <w:tcPr>
            <w:tcW w:w="116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(208,010)</w:t>
            </w:r>
          </w:p>
        </w:tc>
        <w:tc>
          <w:tcPr>
            <w:tcW w:w="1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(425)</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1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tcBorders>
              <w:right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on June 30, 2024</w:t>
            </w: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20" w:type="dxa"/>
            <w:vAlign w:val="bottom"/>
            <w:vMerge w:val="continue"/>
          </w:tcPr>
          <w:p>
            <w:pPr>
              <w:spacing w:after="0"/>
              <w:rPr>
                <w:sz w:val="20"/>
                <w:szCs w:val="20"/>
                <w:color w:val="auto"/>
              </w:rPr>
            </w:pPr>
          </w:p>
        </w:tc>
        <w:tc>
          <w:tcPr>
            <w:tcW w:w="1160" w:type="dxa"/>
            <w:vAlign w:val="bottom"/>
            <w:gridSpan w:val="2"/>
          </w:tcPr>
          <w:p>
            <w:pPr>
              <w:ind w:left="7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gridSpan w:val="2"/>
          </w:tcPr>
          <w:p>
            <w:pPr>
              <w:ind w:left="6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82,096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420</w:t>
            </w:r>
          </w:p>
        </w:tc>
        <w:tc>
          <w:tcPr>
            <w:tcW w:w="8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5,701,924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14,409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SIX AND THREE MONTHS ENDED JUNE 30, 2025 AND 2024</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3"/>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40" w:type="dxa"/>
            <w:vAlign w:val="bottom"/>
          </w:tcPr>
          <w:p>
            <w:pPr>
              <w:spacing w:after="0"/>
              <w:rPr>
                <w:sz w:val="18"/>
                <w:szCs w:val="18"/>
                <w:color w:val="auto"/>
              </w:rPr>
            </w:pPr>
          </w:p>
        </w:tc>
        <w:tc>
          <w:tcPr>
            <w:tcW w:w="102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361"/>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18"/>
                <w:szCs w:val="18"/>
                <w:color w:val="auto"/>
              </w:rPr>
            </w:pPr>
          </w:p>
        </w:tc>
        <w:tc>
          <w:tcPr>
            <w:tcW w:w="142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Subscription</w:t>
            </w:r>
          </w:p>
        </w:tc>
        <w:tc>
          <w:tcPr>
            <w:tcW w:w="100" w:type="dxa"/>
            <w:vAlign w:val="bottom"/>
          </w:tcPr>
          <w:p>
            <w:pPr>
              <w:spacing w:after="0"/>
              <w:rPr>
                <w:sz w:val="18"/>
                <w:szCs w:val="18"/>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320" w:type="dxa"/>
            <w:vAlign w:val="bottom"/>
            <w:gridSpan w:val="3"/>
          </w:tcPr>
          <w:p>
            <w:pPr>
              <w:jc w:val="center"/>
              <w:ind w:right="6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140" w:type="dxa"/>
            <w:vAlign w:val="bottom"/>
          </w:tcPr>
          <w:p>
            <w:pPr>
              <w:spacing w:after="0"/>
              <w:rPr>
                <w:sz w:val="18"/>
                <w:szCs w:val="18"/>
                <w:color w:val="auto"/>
              </w:rPr>
            </w:pPr>
          </w:p>
        </w:tc>
        <w:tc>
          <w:tcPr>
            <w:tcW w:w="102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45"/>
        </w:trPr>
        <w:tc>
          <w:tcPr>
            <w:tcW w:w="4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gridSpan w:val="4"/>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Receivable</w:t>
            </w:r>
          </w:p>
        </w:tc>
        <w:tc>
          <w:tcPr>
            <w:tcW w:w="100" w:type="dxa"/>
            <w:vAlign w:val="bottom"/>
          </w:tcPr>
          <w:p>
            <w:pPr>
              <w:spacing w:after="0"/>
              <w:rPr>
                <w:sz w:val="21"/>
                <w:szCs w:val="21"/>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80" w:type="dxa"/>
            <w:vAlign w:val="bottom"/>
          </w:tcPr>
          <w:p>
            <w:pPr>
              <w:spacing w:after="0"/>
              <w:rPr>
                <w:sz w:val="21"/>
                <w:szCs w:val="21"/>
                <w:color w:val="auto"/>
              </w:rPr>
            </w:pPr>
          </w:p>
        </w:tc>
        <w:tc>
          <w:tcPr>
            <w:tcW w:w="124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7"/>
              </w:rPr>
              <w:t>Deficit</w:t>
            </w:r>
          </w:p>
        </w:tc>
        <w:tc>
          <w:tcPr>
            <w:tcW w:w="220" w:type="dxa"/>
            <w:vAlign w:val="bottom"/>
          </w:tcPr>
          <w:p>
            <w:pPr>
              <w:spacing w:after="0"/>
              <w:rPr>
                <w:sz w:val="21"/>
                <w:szCs w:val="21"/>
                <w:color w:val="auto"/>
              </w:rPr>
            </w:pPr>
          </w:p>
        </w:tc>
        <w:tc>
          <w:tcPr>
            <w:tcW w:w="1180" w:type="dxa"/>
            <w:vAlign w:val="bottom"/>
            <w:gridSpan w:val="2"/>
          </w:tcPr>
          <w:p>
            <w:pPr>
              <w:jc w:val="center"/>
              <w:ind w:right="361"/>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140" w:type="dxa"/>
            <w:vAlign w:val="bottom"/>
          </w:tcPr>
          <w:p>
            <w:pPr>
              <w:spacing w:after="0"/>
              <w:rPr>
                <w:sz w:val="21"/>
                <w:szCs w:val="21"/>
                <w:color w:val="auto"/>
              </w:rPr>
            </w:pPr>
          </w:p>
        </w:tc>
        <w:tc>
          <w:tcPr>
            <w:tcW w:w="102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98"/>
              </w:rPr>
              <w:t>(Deficit)</w:t>
            </w:r>
          </w:p>
        </w:tc>
        <w:tc>
          <w:tcPr>
            <w:tcW w:w="0" w:type="dxa"/>
            <w:vAlign w:val="bottom"/>
          </w:tcPr>
          <w:p>
            <w:pPr>
              <w:spacing w:after="0"/>
              <w:rPr>
                <w:sz w:val="1"/>
                <w:szCs w:val="1"/>
                <w:color w:val="auto"/>
              </w:rPr>
            </w:pPr>
          </w:p>
        </w:tc>
      </w:tr>
      <w:tr>
        <w:trPr>
          <w:trHeight w:val="236"/>
        </w:trPr>
        <w:tc>
          <w:tcPr>
            <w:tcW w:w="48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on December 31, 2024</w:t>
            </w:r>
          </w:p>
        </w:tc>
        <w:tc>
          <w:tcPr>
            <w:tcW w:w="34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(3,700</w:t>
            </w:r>
          </w:p>
        </w:tc>
        <w:tc>
          <w:tcPr>
            <w:tcW w:w="140" w:type="dxa"/>
            <w:vAlign w:val="bottom"/>
            <w:tcBorders>
              <w:top w:val="single" w:sz="8" w:color="CCEEFF"/>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$ 6,195,322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(14,647,702</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(15,179</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(8,456,285</w:t>
            </w:r>
          </w:p>
        </w:tc>
        <w:tc>
          <w:tcPr>
            <w:tcW w:w="100" w:type="dxa"/>
            <w:vAlign w:val="bottom"/>
            <w:tcBorders>
              <w:top w:val="single" w:sz="8" w:color="CCEEFF"/>
              <w:left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3"/>
        </w:trPr>
        <w:tc>
          <w:tcPr>
            <w:tcW w:w="48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Stock-Based Compensation - Restricted Stock Agreements</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42,500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42,500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w:t>
            </w:r>
          </w:p>
        </w:tc>
        <w:tc>
          <w:tcPr>
            <w:tcW w:w="3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Offering Costs</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(1,427,079)</w:t>
            </w:r>
          </w:p>
        </w:tc>
        <w:tc>
          <w:tcPr>
            <w:tcW w:w="8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(1,427,079)</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of Preferred Stock to Common Stock</w:t>
            </w:r>
          </w:p>
        </w:tc>
        <w:tc>
          <w:tcPr>
            <w:tcW w:w="3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Conversion of Convertible Debt and Accrued Interest (Note 6)</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6,611,214</w:t>
            </w:r>
          </w:p>
        </w:tc>
        <w:tc>
          <w:tcPr>
            <w:tcW w:w="8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6,611,405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8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in Connection with IPO and Over-</w:t>
            </w:r>
          </w:p>
        </w:tc>
        <w:tc>
          <w:tcPr>
            <w:tcW w:w="34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allotment, Net of $1,176,800 of Offering Costs</w:t>
            </w:r>
          </w:p>
        </w:tc>
        <w:tc>
          <w:tcPr>
            <w:tcW w:w="340" w:type="dxa"/>
            <w:vAlign w:val="bottom"/>
            <w:tcBorders>
              <w:right w:val="single" w:sz="8" w:color="CCEEFF"/>
            </w:tcBorders>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00" w:type="dxa"/>
            <w:vAlign w:val="bottom"/>
            <w:gridSpan w:val="3"/>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5,608,031</w:t>
            </w:r>
          </w:p>
        </w:tc>
        <w:tc>
          <w:tcPr>
            <w:tcW w:w="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5,608,200</w:t>
            </w:r>
          </w:p>
        </w:tc>
        <w:tc>
          <w:tcPr>
            <w:tcW w:w="10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Underwriter Warrants</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130,980</w:t>
            </w:r>
          </w:p>
        </w:tc>
        <w:tc>
          <w:tcPr>
            <w:tcW w:w="8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 for Services</w:t>
            </w:r>
          </w:p>
        </w:tc>
        <w:tc>
          <w:tcPr>
            <w:tcW w:w="3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164,647</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164,647</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(1,067,673)</w:t>
            </w:r>
          </w:p>
        </w:tc>
        <w:tc>
          <w:tcPr>
            <w:tcW w:w="22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(1,067,673)</w:t>
            </w:r>
          </w:p>
        </w:tc>
        <w:tc>
          <w:tcPr>
            <w:tcW w:w="0" w:type="dxa"/>
            <w:vAlign w:val="bottom"/>
          </w:tcPr>
          <w:p>
            <w:pPr>
              <w:spacing w:after="0"/>
              <w:rPr>
                <w:sz w:val="1"/>
                <w:szCs w:val="1"/>
                <w:color w:val="auto"/>
              </w:rPr>
            </w:pPr>
          </w:p>
        </w:tc>
      </w:tr>
      <w:tr>
        <w:trPr>
          <w:trHeight w:val="216"/>
        </w:trPr>
        <w:tc>
          <w:tcPr>
            <w:tcW w:w="4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on March 31, 2025</w:t>
            </w:r>
          </w:p>
        </w:tc>
        <w:tc>
          <w:tcPr>
            <w:tcW w:w="340" w:type="dxa"/>
            <w:vAlign w:val="bottom"/>
            <w:tcBorders>
              <w:top w:val="single" w:sz="8" w:color="CCEEFF"/>
              <w:right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(3,700)</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$17,325,615</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 (15,715,375)</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(15,179)</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1,606,695</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313,071</w:t>
            </w:r>
          </w:p>
        </w:tc>
        <w:tc>
          <w:tcPr>
            <w:tcW w:w="8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313,071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Shares Payable - Subscription</w:t>
            </w:r>
          </w:p>
        </w:tc>
        <w:tc>
          <w:tcPr>
            <w:tcW w:w="3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24,999</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 for Services</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506,814</w:t>
            </w:r>
          </w:p>
        </w:tc>
        <w:tc>
          <w:tcPr>
            <w:tcW w:w="8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506,819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of Convertible Debt and Accrued Interest (Note 6)</w:t>
            </w:r>
          </w:p>
        </w:tc>
        <w:tc>
          <w:tcPr>
            <w:tcW w:w="3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154,363</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154,367</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(1,705,217)</w:t>
            </w:r>
          </w:p>
        </w:tc>
        <w:tc>
          <w:tcPr>
            <w:tcW w:w="220" w:type="dxa"/>
            <w:vAlign w:val="bottom"/>
          </w:tcPr>
          <w:p>
            <w:pPr>
              <w:spacing w:after="0"/>
              <w:rPr>
                <w:sz w:val="19"/>
                <w:szCs w:val="19"/>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(1,705,217)</w:t>
            </w:r>
          </w:p>
        </w:tc>
        <w:tc>
          <w:tcPr>
            <w:tcW w:w="0" w:type="dxa"/>
            <w:vAlign w:val="bottom"/>
          </w:tcPr>
          <w:p>
            <w:pPr>
              <w:spacing w:after="0"/>
              <w:rPr>
                <w:sz w:val="1"/>
                <w:szCs w:val="1"/>
                <w:color w:val="auto"/>
              </w:rPr>
            </w:pPr>
          </w:p>
        </w:tc>
      </w:tr>
      <w:tr>
        <w:trPr>
          <w:trHeight w:val="27"/>
        </w:trPr>
        <w:tc>
          <w:tcPr>
            <w:tcW w:w="48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on June 30, 2025</w:t>
            </w:r>
          </w:p>
        </w:tc>
        <w:tc>
          <w:tcPr>
            <w:tcW w:w="340" w:type="dxa"/>
            <w:vAlign w:val="bottom"/>
            <w:tcBorders>
              <w:right w:val="single" w:sz="8" w:color="auto"/>
            </w:tcBorders>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gridSpan w:val="2"/>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right w:val="single" w:sz="8" w:color="auto"/>
            </w:tcBorders>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vMerge w:val="restart"/>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vMerge w:val="continue"/>
            <w:shd w:val="clear" w:color="auto" w:fill="CCEEFF"/>
          </w:tcPr>
          <w:p>
            <w:pPr>
              <w:spacing w:after="0"/>
              <w:rPr>
                <w:sz w:val="21"/>
                <w:szCs w:val="21"/>
                <w:color w:val="auto"/>
              </w:rPr>
            </w:pPr>
          </w:p>
        </w:tc>
        <w:tc>
          <w:tcPr>
            <w:tcW w:w="340" w:type="dxa"/>
            <w:vAlign w:val="bottom"/>
            <w:tcBorders>
              <w:right w:val="single" w:sz="8" w:color="CCEEFF"/>
            </w:tcBorders>
            <w:shd w:val="clear" w:color="auto" w:fill="CCEEFF"/>
          </w:tcPr>
          <w:p>
            <w:pPr>
              <w:spacing w:after="0"/>
              <w:rPr>
                <w:sz w:val="21"/>
                <w:szCs w:val="21"/>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(3,700</w:t>
            </w:r>
          </w:p>
        </w:tc>
        <w:tc>
          <w:tcPr>
            <w:tcW w:w="140" w:type="dxa"/>
            <w:vAlign w:val="bottom"/>
            <w:gridSpan w:val="2"/>
            <w:vMerge w:val="continue"/>
            <w:shd w:val="clear" w:color="auto" w:fill="CCEEFF"/>
          </w:tcPr>
          <w:p>
            <w:pPr>
              <w:spacing w:after="0"/>
              <w:rPr>
                <w:sz w:val="21"/>
                <w:szCs w:val="21"/>
                <w:color w:val="auto"/>
              </w:rPr>
            </w:pPr>
          </w:p>
        </w:tc>
        <w:tc>
          <w:tcPr>
            <w:tcW w:w="11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18,324,862</w:t>
            </w:r>
          </w:p>
        </w:tc>
        <w:tc>
          <w:tcPr>
            <w:tcW w:w="80" w:type="dxa"/>
            <w:vAlign w:val="bottom"/>
            <w:vMerge w:val="continue"/>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(17,420,592</w:t>
            </w:r>
          </w:p>
        </w:tc>
        <w:tc>
          <w:tcPr>
            <w:tcW w:w="220" w:type="dxa"/>
            <w:vAlign w:val="bottom"/>
            <w:vMerge w:val="continue"/>
            <w:shd w:val="clear" w:color="auto" w:fill="CCEEFF"/>
          </w:tcPr>
          <w:p>
            <w:pPr>
              <w:spacing w:after="0"/>
              <w:rPr>
                <w:sz w:val="21"/>
                <w:szCs w:val="21"/>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(15,179</w:t>
            </w:r>
          </w:p>
        </w:tc>
        <w:tc>
          <w:tcPr>
            <w:tcW w:w="22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900,735</w:t>
            </w:r>
          </w:p>
        </w:tc>
        <w:tc>
          <w:tcPr>
            <w:tcW w:w="10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0"/>
        </w:trPr>
        <w:tc>
          <w:tcPr>
            <w:tcW w:w="4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3"/>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401"/>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40" w:type="dxa"/>
            <w:vAlign w:val="bottom"/>
          </w:tcPr>
          <w:p>
            <w:pPr>
              <w:spacing w:after="0"/>
              <w:rPr>
                <w:sz w:val="18"/>
                <w:szCs w:val="18"/>
                <w:color w:val="auto"/>
              </w:rPr>
            </w:pPr>
          </w:p>
        </w:tc>
        <w:tc>
          <w:tcPr>
            <w:tcW w:w="102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4"/>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w w:val="97"/>
              </w:rPr>
              <w:t>Subscription</w:t>
            </w:r>
          </w:p>
        </w:tc>
        <w:tc>
          <w:tcPr>
            <w:tcW w:w="100" w:type="dxa"/>
            <w:vAlign w:val="bottom"/>
          </w:tcPr>
          <w:p>
            <w:pPr>
              <w:spacing w:after="0"/>
              <w:rPr>
                <w:sz w:val="18"/>
                <w:szCs w:val="18"/>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320" w:type="dxa"/>
            <w:vAlign w:val="bottom"/>
            <w:gridSpan w:val="3"/>
          </w:tcPr>
          <w:p>
            <w:pPr>
              <w:jc w:val="center"/>
              <w:ind w:right="6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45"/>
        </w:trPr>
        <w:tc>
          <w:tcPr>
            <w:tcW w:w="4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gridSpan w:val="4"/>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rPr>
              <w:t>Receivable</w:t>
            </w:r>
          </w:p>
        </w:tc>
        <w:tc>
          <w:tcPr>
            <w:tcW w:w="100" w:type="dxa"/>
            <w:vAlign w:val="bottom"/>
          </w:tcPr>
          <w:p>
            <w:pPr>
              <w:spacing w:after="0"/>
              <w:rPr>
                <w:sz w:val="21"/>
                <w:szCs w:val="21"/>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80" w:type="dxa"/>
            <w:vAlign w:val="bottom"/>
          </w:tcPr>
          <w:p>
            <w:pPr>
              <w:spacing w:after="0"/>
              <w:rPr>
                <w:sz w:val="21"/>
                <w:szCs w:val="21"/>
                <w:color w:val="auto"/>
              </w:rPr>
            </w:pPr>
          </w:p>
        </w:tc>
        <w:tc>
          <w:tcPr>
            <w:tcW w:w="124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7"/>
              </w:rPr>
              <w:t>Deficit</w:t>
            </w:r>
          </w:p>
        </w:tc>
        <w:tc>
          <w:tcPr>
            <w:tcW w:w="220" w:type="dxa"/>
            <w:vAlign w:val="bottom"/>
          </w:tcPr>
          <w:p>
            <w:pPr>
              <w:spacing w:after="0"/>
              <w:rPr>
                <w:sz w:val="21"/>
                <w:szCs w:val="21"/>
                <w:color w:val="auto"/>
              </w:rPr>
            </w:pPr>
          </w:p>
        </w:tc>
        <w:tc>
          <w:tcPr>
            <w:tcW w:w="1180" w:type="dxa"/>
            <w:vAlign w:val="bottom"/>
            <w:gridSpan w:val="2"/>
          </w:tcPr>
          <w:p>
            <w:pPr>
              <w:jc w:val="center"/>
              <w:ind w:right="361"/>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140" w:type="dxa"/>
            <w:vAlign w:val="bottom"/>
          </w:tcPr>
          <w:p>
            <w:pPr>
              <w:spacing w:after="0"/>
              <w:rPr>
                <w:sz w:val="21"/>
                <w:szCs w:val="21"/>
                <w:color w:val="auto"/>
              </w:rPr>
            </w:pPr>
          </w:p>
        </w:tc>
        <w:tc>
          <w:tcPr>
            <w:tcW w:w="102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97"/>
              </w:rPr>
              <w:t>Deficit</w:t>
            </w:r>
          </w:p>
        </w:tc>
        <w:tc>
          <w:tcPr>
            <w:tcW w:w="0" w:type="dxa"/>
            <w:vAlign w:val="bottom"/>
          </w:tcPr>
          <w:p>
            <w:pPr>
              <w:spacing w:after="0"/>
              <w:rPr>
                <w:sz w:val="1"/>
                <w:szCs w:val="1"/>
                <w:color w:val="auto"/>
              </w:rPr>
            </w:pPr>
          </w:p>
        </w:tc>
      </w:tr>
      <w:tr>
        <w:trPr>
          <w:trHeight w:val="236"/>
        </w:trPr>
        <w:tc>
          <w:tcPr>
            <w:tcW w:w="48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on December 31, 2023</w:t>
            </w:r>
          </w:p>
        </w:tc>
        <w:tc>
          <w:tcPr>
            <w:tcW w:w="34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(4,276</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$ 5,284,362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(11,359,183</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(15,179</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(6,079,062</w:t>
            </w:r>
          </w:p>
        </w:tc>
        <w:tc>
          <w:tcPr>
            <w:tcW w:w="100" w:type="dxa"/>
            <w:vAlign w:val="bottom"/>
            <w:tcBorders>
              <w:top w:val="single" w:sz="8" w:color="CCEEFF"/>
              <w:left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3"/>
        </w:trPr>
        <w:tc>
          <w:tcPr>
            <w:tcW w:w="48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Stock-Based Compensation - Restricted Stock Agreements</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46,016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46,016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Borders>
              <w:right w:val="single" w:sz="8" w:color="CCEEFF"/>
            </w:tcBorders>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0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CCEEFF"/>
            </w:tcBorders>
            <w:shd w:val="clear" w:color="auto" w:fill="CCEEFF"/>
          </w:tcPr>
          <w:p>
            <w:pPr>
              <w:spacing w:after="0"/>
              <w:rPr>
                <w:sz w:val="21"/>
                <w:szCs w:val="21"/>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(1,034,161)</w:t>
            </w:r>
          </w:p>
        </w:tc>
        <w:tc>
          <w:tcPr>
            <w:tcW w:w="22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(1,034,161)</w:t>
            </w:r>
          </w:p>
        </w:tc>
        <w:tc>
          <w:tcPr>
            <w:tcW w:w="0" w:type="dxa"/>
            <w:vAlign w:val="bottom"/>
          </w:tcPr>
          <w:p>
            <w:pPr>
              <w:spacing w:after="0"/>
              <w:rPr>
                <w:sz w:val="1"/>
                <w:szCs w:val="1"/>
                <w:color w:val="auto"/>
              </w:rPr>
            </w:pPr>
          </w:p>
        </w:tc>
      </w:tr>
      <w:tr>
        <w:trPr>
          <w:trHeight w:val="203"/>
        </w:trPr>
        <w:tc>
          <w:tcPr>
            <w:tcW w:w="48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Balance on March 31, 2024</w:t>
            </w:r>
          </w:p>
        </w:tc>
        <w:tc>
          <w:tcPr>
            <w:tcW w:w="34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jc w:val="right"/>
              <w:ind w:right="111"/>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Borders>
              <w:top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(4,276)</w:t>
            </w: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$ 5,330,378</w:t>
            </w: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93"/>
              </w:rPr>
              <w:t>$ (12,393,344)</w:t>
            </w:r>
          </w:p>
        </w:tc>
        <w:tc>
          <w:tcPr>
            <w:tcW w:w="2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(15,179)</w:t>
            </w: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(7,067,207)</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46,016</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46,016</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Offering Costs</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3"/>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(5,000)</w:t>
            </w:r>
          </w:p>
        </w:tc>
        <w:tc>
          <w:tcPr>
            <w:tcW w:w="8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Shares Payable</w:t>
            </w:r>
          </w:p>
        </w:tc>
        <w:tc>
          <w:tcPr>
            <w:tcW w:w="3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451,365</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451,405</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Retirement of Shares</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3"/>
          </w:tcPr>
          <w:p>
            <w:pPr>
              <w:jc w:val="right"/>
              <w:ind w:right="41"/>
              <w:spacing w:after="0"/>
              <w:rPr>
                <w:sz w:val="20"/>
                <w:szCs w:val="20"/>
                <w:color w:val="auto"/>
              </w:rPr>
            </w:pPr>
            <w:r>
              <w:rPr>
                <w:rFonts w:ascii="Times New Roman" w:cs="Times New Roman" w:eastAsia="Times New Roman" w:hAnsi="Times New Roman"/>
                <w:sz w:val="18"/>
                <w:szCs w:val="18"/>
                <w:color w:val="auto"/>
              </w:rPr>
              <w:t>576</w:t>
            </w:r>
          </w:p>
        </w:tc>
        <w:tc>
          <w:tcPr>
            <w:tcW w:w="11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(151)</w:t>
            </w:r>
          </w:p>
        </w:tc>
        <w:tc>
          <w:tcPr>
            <w:tcW w:w="8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Borders>
              <w:right w:val="single" w:sz="8" w:color="CCEEFF"/>
            </w:tcBorders>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CCEEFF"/>
            </w:tcBorders>
            <w:shd w:val="clear" w:color="auto" w:fill="CCEEFF"/>
          </w:tcPr>
          <w:p>
            <w:pPr>
              <w:spacing w:after="0"/>
              <w:rPr>
                <w:sz w:val="19"/>
                <w:szCs w:val="19"/>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(956,963)</w:t>
            </w: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(956,963)</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on June 30, 2024</w:t>
            </w:r>
          </w:p>
        </w:tc>
        <w:tc>
          <w:tcPr>
            <w:tcW w:w="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gridSpan w:val="2"/>
            <w:shd w:val="clear" w:color="auto" w:fill="000000"/>
          </w:tcPr>
          <w:p>
            <w:pPr>
              <w:spacing w:after="0" w:line="20" w:lineRule="exact"/>
              <w:rPr>
                <w:sz w:val="1"/>
                <w:szCs w:val="1"/>
                <w:color w:val="auto"/>
              </w:rPr>
            </w:pPr>
          </w:p>
        </w:tc>
        <w:tc>
          <w:tcPr>
            <w:tcW w:w="12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vMerge w:val="restart"/>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line="20" w:lineRule="exact"/>
              <w:rPr>
                <w:sz w:val="1"/>
                <w:szCs w:val="1"/>
                <w:color w:val="auto"/>
              </w:rPr>
            </w:pPr>
          </w:p>
        </w:tc>
      </w:tr>
      <w:tr>
        <w:trPr>
          <w:trHeight w:val="237"/>
        </w:trPr>
        <w:tc>
          <w:tcPr>
            <w:tcW w:w="4820" w:type="dxa"/>
            <w:vAlign w:val="bottom"/>
            <w:vMerge w:val="continue"/>
          </w:tcPr>
          <w:p>
            <w:pPr>
              <w:spacing w:after="0"/>
              <w:rPr>
                <w:sz w:val="20"/>
                <w:szCs w:val="20"/>
                <w:color w:val="auto"/>
              </w:rPr>
            </w:pPr>
          </w:p>
        </w:tc>
        <w:tc>
          <w:tcPr>
            <w:tcW w:w="620" w:type="dxa"/>
            <w:vAlign w:val="bottom"/>
            <w:gridSpan w:val="2"/>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(3,700</w:t>
            </w:r>
          </w:p>
        </w:tc>
        <w:tc>
          <w:tcPr>
            <w:tcW w:w="120" w:type="dxa"/>
            <w:vAlign w:val="bottom"/>
            <w:vMerge w:val="continue"/>
          </w:tcPr>
          <w:p>
            <w:pPr>
              <w:spacing w:after="0"/>
              <w:rPr>
                <w:sz w:val="20"/>
                <w:szCs w:val="20"/>
                <w:color w:val="auto"/>
              </w:rPr>
            </w:pPr>
          </w:p>
        </w:tc>
        <w:tc>
          <w:tcPr>
            <w:tcW w:w="11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$ 5,822,608</w:t>
            </w:r>
          </w:p>
        </w:tc>
        <w:tc>
          <w:tcPr>
            <w:tcW w:w="80" w:type="dxa"/>
            <w:vAlign w:val="bottom"/>
            <w:vMerge w:val="continue"/>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(13,350,307</w:t>
            </w:r>
          </w:p>
        </w:tc>
        <w:tc>
          <w:tcPr>
            <w:tcW w:w="2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(15,179</w:t>
            </w:r>
          </w:p>
        </w:tc>
        <w:tc>
          <w:tcPr>
            <w:tcW w:w="22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(7,531,749</w:t>
            </w:r>
          </w:p>
        </w:tc>
        <w:tc>
          <w:tcPr>
            <w:tcW w:w="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SIX MONTHS ENDED JUNE 30, 2025 AND 2024</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20" w:type="dxa"/>
            <w:vAlign w:val="bottom"/>
            <w:gridSpan w:val="5"/>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0" w:type="dxa"/>
            <w:vAlign w:val="bottom"/>
          </w:tcPr>
          <w:p>
            <w:pPr>
              <w:spacing w:after="0"/>
              <w:rPr>
                <w:sz w:val="1"/>
                <w:szCs w:val="1"/>
                <w:color w:val="auto"/>
              </w:rPr>
            </w:pPr>
          </w:p>
        </w:tc>
      </w:tr>
      <w:tr>
        <w:trPr>
          <w:trHeight w:val="194"/>
        </w:trPr>
        <w:tc>
          <w:tcPr>
            <w:tcW w:w="86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right"/>
              <w:ind w:right="480"/>
              <w:spacing w:after="0" w:line="194"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70"/>
              <w:spacing w:after="0" w:line="194"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(2,772,890)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(1,991,124)</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Adjustments to reconcile net loss to net cash used in operating activities: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355,571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92,032</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100,781</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46,410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Extension Fees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997,253</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Stock-Based Compensation Liability - Software Expense</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39,998</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 Stock-Based Compensation Liability</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133,331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 for Services - Marketing Expenses</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133,334</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 for Services - Software Expenses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159,091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Gain</w:t>
            </w: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(451)</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Changes in operating assets and liabilities: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(159,461)</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6,588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(43,667)</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(773,639)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548,318</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Related Party Payable</w:t>
            </w: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(22,302)</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37,628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Payroll</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(209,650)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106,450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(26,430)</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(529,146)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(146,084)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237,296</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Share Payable</w:t>
            </w: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(766)</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200,349</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(239)</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70,000</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Cash Flows Used In Operating Activities</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(3,226,885)</w:t>
            </w: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(184,534)</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Notes Payable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101,650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12,198</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Notes Payable</w:t>
            </w: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(399,126)</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the settlement of the Stock-Based Compensation Liability</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(250,000)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Convertible Debt - December 2024, Net</w:t>
            </w: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(227,500)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Convertible Debt - December 2024, Net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105,000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151,620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the Sale of Common Stock in IPO</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6,785,000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Costs Paid and Netted with IPO Proceeds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(1,250,800)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Offering Costs Paid</w:t>
            </w:r>
          </w:p>
        </w:tc>
        <w:tc>
          <w:tcPr>
            <w:tcW w:w="14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(117,922)</w:t>
            </w:r>
          </w:p>
        </w:tc>
        <w:tc>
          <w:tcPr>
            <w:tcW w:w="16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Flows Provided By Financing Activities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4,746,302</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158,818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change in cash</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1,519,417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(25,716)</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at the beginning of the period</w:t>
            </w:r>
          </w:p>
        </w:tc>
        <w:tc>
          <w:tcPr>
            <w:tcW w:w="1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29,228</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33,889</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at the end of the period</w:t>
            </w: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1,548,645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8,173</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532,943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of Convertible Debt and Accrued Interest into Common Stock</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6,765,772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Underwriter Warrants included as Offering Costs</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130,980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Stock-Based Compensation Liability Capitalized to Implementation Costs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76,671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Reclassified to Issuance of Common Stock for Services - Software Expense</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Reclassified to Capitalized Implementation Costs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 for Capitalized Implementation Costs</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312,437</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Offering Costs at December 31, 2024 Reclassified to Offering Costs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1,219,176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 Reclassified to Other Receivables</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18,081</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 Reclassified to Prepaid Expenses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Write Off of Deferred Offering Costs Accrued at December 31, 2024</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115,000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of Series A Preferred Stock to Common Stock</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Recognized by Issuance of Common Stock</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66,666</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Shares Payable - Subscription</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434"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NATURE OF THE ORGANIZATION AND BUSINESS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History</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Brag House Holdings, Inc. (“Brag House” or “BHHI” or the “Company”) was formed as a Delaware corporation on December 3, 2021. The Company’s principal executive offices are located at 45 Park Street, Montclair, NJ 07042.</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Brag House Inc. (“BHI”), the Company’s wholly owned indirect subsidiary, was formed as a Delaware corporation in February 2018. Their principal offices are located at 45 Park Street, Montclair, NJ 07042.</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11, 2021, Brag House Ltd. (“BHL”) was registered in the United Kingdom. Their principal offices are located at 7 – 9 Swallow Street, London W1B 4DE, United Kingdom.</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16, 2021, BHL acquired all of the 10,000,000 issued and outstanding BHI shares held by BHI shareholders on a one for 14.07 basis (rounded to the nearest whole number) in exchange for 140,700,000 ordinary shares of £0.0001 in BHL, making BHI a wholly owned subsidiary of BHL (“UK Reorganization”).</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Following the UK Reorganization, the board of directors of BHL determined that it was in the best interests of BHL and its shareholders that an initial public offering (“IPO”) in the United States and concurrent listing on Nasdaq be pursued. To effect that proposed IPO and listing on Nasdaq, in December 2021, the Company was formed. In connection with this IPO, prior to the effectiveness of the registration statement, on February 8, 2022, the Company approved a reorganization, in which the shareholders of BHL would exchange their ordinary shares and preference shares of BHL for a proportionate number of common and preferred shares in the Company on a 21 to 1 basis (“U.S. Reorganization”). Immediately following the U.S. Reorganization, BHL became the wholly-owned subsidiary of the Company, and BHI became the indirect wholly-owned subsidiary of the Company. Management anticipates that BHL will be wound down and dissolved as soon as reasonably practicable following the consummation of the Company’s IPO.</w:t>
      </w:r>
    </w:p>
    <w:p>
      <w:pPr>
        <w:spacing w:after="0" w:line="200" w:lineRule="exact"/>
        <w:rPr>
          <w:sz w:val="20"/>
          <w:szCs w:val="20"/>
          <w:color w:val="auto"/>
        </w:rPr>
      </w:pPr>
    </w:p>
    <w:p>
      <w:pPr>
        <w:spacing w:after="0" w:line="2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June 11, 2024, the Company’s board of directors approved, and on June 13, 2024, the Company’s stockholders approved the original reverse stock split (“Original Reverse Stock Split”). On June 14, 2024, the Company filed the Second Certificate of Amendment to its Certificate of Incorporation to effect the Original Reverse Stock Split, such that every holder of Common Stock and Series A Preferred Stock of the Company received 1 share of Common Stock and 1 share of Series A Preferred Stock for every 5.1287 of a share held. On October 11, 2024, the Company canceled the Original Reverse Stock Split and effected a 1 for 2.43615 consolidation of its issued and outstanding Common Stock and Series A Preferred Stock (the “Reverse Stock Split”). On October 11, 2024, the Company filed the Third Certificate of Amendment to its Certificate of Incorporation to effect the Reverse Stock Split. The Conversion Price of Series A convertible preferred stock, par value $0.0001 per share (the “Series A Preferred Stock”), will reflect the Reverse Stock Split. All fractional shares created by the 1 for 2.43615 exchange will be paid in cash. The resulting payment amount due for the fractional shares is not material. The Reverse Stock Split had no impact on the par value per share of the Company’s Common Stock and Series A Preferred Stock, all of which remain at $0.0001.</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14, 2025, the Company received its notice of effectiveness from the U.S. Securities and Exchange Commission (“SEC”) and became a public company. On March 5, 2025, the Company entered into a material definitive agreement in the form of an underwriting agreement with Kingswood Capital Partners, LLC (“Kingswood”) as representative of the underwriters named therein, for the offer and sale of 1,475,000 shares of the Company’s common stock at a public offering price of $4.00 per share for gross proceeds of $5.9 million, before deducting underwriting discounts and other related expenses totaling $1.1 million.</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March 6, 2025, the Company’s shares began trading on Nasdaq under the symbol “TBH” and on March 7, 2025, the Company filed its prospectus with the SEC and completed its IPO.</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 — NATURE OF THE ORGANIZATION AND BUSINESS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Pursuant to the underwriting agreement, as partial compensation for their services, the Company issued to the underwriters on the closing date of the IPO (the “Closing Date”), warrants (the “Underwriter Warrants”) to purchase an aggregate of 44,250 shares of the Company’s common stock, representing 3% of the shares issued on the Closing Date. The Underwriter Warrants will be exercisable, in whole or in part, commencing on September 3, 2025, and expiring on September 9, 2029, at an initial exercise price per share of common stock of $4.00, which is equal to 100% of the Offering price. The terms of the Underwriter Warrants are substantially the same as the terms set forth in the form of such warrants which is filed as Exhibit 4.1 to the report on Form 8-K filed by the Company on March 11, 2025.</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10, 2025, Kingswood, as representative of the underwriters, exercised in full its option to purchase an additional 221,250 shares of the Company’s common stock to cover over-allotments at a public offering price of $4.00 per share for gross proceeds from the over-allotment exercise of $885,000, before deducting underwriting discounts and other related expenses totaling $95,800. The over-allotment exercise closed on March 11, 2025 and, on that same date, the Company issued a press release announcing the closing of the over-allotment exercise.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Nature of the Business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Brag House is a vertically integrated social network for college esports. The Company’s mission is to create a community which empowers gamers, streamers, and fans to interact with one another. The Company’s platform, which focuses on building a centralized esports experience for non-professional college gamers and their fans, achieves this by allowing college students to compete against one another, support their favorite gamers and teams, and win prizes.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 and Going Concern</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on the basis that the Company will continue as a going concern, which contemplates realization of assets and the satisfaction of liabilities in the normal course of business. As of June 30, 2025, the Company had an accumulated deficit of $17,420,592. For the six months ended June 30, 2025, the Company had a net loss of $2,772,890 and negative cash flows from operations of $3,226,885. The Company’s operating activities consume the majority of its cash resources. The Company will continue to promote its services to existing and potential customers, but it anticipates that it will continue to incur operating losses as it executes its development plans through 2025, as well as other potential strategic and business development initiatives. In addition, the Company has had, and expects to have, negative cash flows from operations, at least into the near future. The Company previously funded these losses primarily through the sale of equity and infusions of cash from advances by its Chief Executive Officer, and plans to continue funding operations through the sale of equity or issuance of debt instruments. The accompanying condensed consolidated financial statements do not include any adjustments that might be necessary should the Company be unable to continue as a going concern for the next twelve months from the issuance of these condensed consolidated financial statements.</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also secured a strategic partnership for tournament and promotional events in 2025 with Learfield Communications, LLC, formerly Learfield IMG College, a billion-dollar media company that holds the media rights to hundreds of colleges in the US, including collegiate properties such as the NCAA and its 89 championships and NCAA Football. The partnership’s first activation was held online on May 17, 2025 for students and alumni of the University of Florida, one of Learfield’s media rights properties. The Company believes this partnership positions it to leverage Learfield’s college network to generate sponsorship revenue and brand engagement opportunities, while giving the Company access to extensive datasets from diverse college campuses as the Company evolves into a scalable data insights revenue model, where the Company aims to enable brands to gain data insights to create enhanced, personalized and effective marketing campaigns. The Company further believes this partnership will contribute directly to its model through shared sponsorship earnings, while validating its marketing and data strategy for reaching college-aged Gen Z gamers. Through this, the Company plans to scale across Learfield’s properties, expanding brand partnerships in the gaming and esports spaces.</w:t>
      </w:r>
    </w:p>
    <w:p>
      <w:pPr>
        <w:spacing w:after="0" w:line="18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Lastly, on July 24, 2025, the Company entered into an agreement to sell an aggregate of 15,000 shares of its Series B Convertible Preferred Stock in exchange for total gross proceeds of $15,000,000. Please refer to Note 10 for subsequent events.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 — NATURE OF THE ORGANIZATION AND BUSINESS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believes this is a strong indicator of continued growth in the coming years for tournament revenue. Until revenue from such tournaments provides sufficient and steady cash flow, management intends to raise funds through equity and debt offerings, and believes that the actions presently being taken to further implement its business plan will enable the Company to continue as a going concern. While the Company believes in its ability to raise additional funds, there can be no assurances to that effect. The ability of the Company to continue as a going concern is dependent upon the Company’s ability to further implement its business plan and raise additional funds as described.</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Although no assurances can be given as to the Company’s ability to deliver on its revenue plans or that unforeseen expenses will not arise, management believes that the revenue to be generated from operations, together with equity and debt financing, will provide the necessary funding for the Company to continue as a going concern. However, the Company has earned minimal revenue through the six months ended June 30, 2025, and management cannot guarantee that any potential debt or equity financing will be available or, if available, will be available on favorable terms. As such, these matters raise substantial doubt about the Company’s ability to continue as a going concern for the next twelve months from the issuance of the accompanying condensed consolidated financial statements. If adequate funds are not available on acceptable terms, or at all, the Company will need to curtail operations or cease operations completely.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Emerging Growth Company</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2(a)(19) of the Securities Act, as modified by the Jumpstart Our Business Startups Act of 2012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404(b) of the Sarbanes-Oxley Act of 2002, reduced disclosure obligations regarding executive compensation in its periodic reports and proxy statements, and exemptions from the requirements of holding a non-binding advisory vote on executive compensation and approval of any golden parachute payments not previously approved. 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condensed consolidated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generally accepted accounting principles in the United States of America (“GAAP”) and applicable rules and regulations of the SEC regarding interim financial reporting. In the opinion of management, the accompanying unaudited condensed consolidated financial statements contain all adjustments (consisting of normal recurring adjustments) and disclosures necessary for a fair statement of the Company’s financial position as of June 30, 2025 and the results of its operations for the six months then ended. The results of operations for the six months ended June 30, 2025 are not necessarily indicative of the results to be expected for the year ending December 31, 2025 or for any other interim period or for any other future year. These interim unaudited condensed consolidated financial statements should be read in conjunction with the audited consolidated financial statements and notes thereto contained in the Company’s Annual Report within its Form 10-K filing. Interim disclosures generally do not repeat those in the annual statements. The Company and its subsidiaries operate as a single operating segment.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Principles of Consolidation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the Company and its wholly owned subsidiaries. All intercompany balances and transactions have been eliminated in consolidation.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Reporting</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The Company follows the guidance in ASC Topic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for the identification and disclosure of reportable segments. Operating segments are defined as components of an enterprise for which separate financial information is available and evaluated regularly by the Company’s chief operating decision maker (“CODM”) in deciding how to allocate resources and in assessing performance.</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Company’s CODM, who is its Chief Executive Officer, reviews financial information presented on a consolidated basis for purposes of making operating decisions and assessing performance. The Company manages its operations and evaluates financial performance as a single operating segment. Accordingly, the Company has determined that it operates in one reportable segment.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operations are currently located in the United States, and substantially all revenues are derived from U.S. customers. Management will continue to evaluate the Company’s operations to determine if, in the future, changes in organizational structure or business activities require the identification of additional reportable segments.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the Company’s management to make estimates and assumptions that affect the reported amounts of assets, liabilities, equity-based transactions and disclosure of contingent assets and liabilities at the date of the financial statements and the reported amounts of revenues and expenses during the reporting period.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bases its estimates and assumptions on an ongoing basis using historical experience and other factors, known or expected trends and various other assumptions that it believes to be reasonable. As future events and their effects cannot be determined with precision, actual results could differ from these estimates, which may cause the Company’s future results to be affected.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investments with maturities of three months or less at the time of purchase to be cash equivalents. As of June 30, 2025, the Company had $1,540,000 of cash in a sweep account, which is classified as cash. There were no cash equivalents as of June 30, 2025 and December 31, 2024.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Credit Losses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Trade accounts receivable are stated net of an allowance for credit losses. The Company estimates the credit losses using historical information, current economic conditions and reasonable and supportable forecast information for a reasonable period of time. The Company starts by determining expected credit losses by using historical loss information based on the aging of receivables. An analysis of the current economic conditions along with forecast information is then used to determine any adjustment to the historical loss rates to determine the appropriate rates for future losses and the Company’s current expected credit losses for trade receivables. As of June 30, 2025 and December 31, 2024, there were no accounts receivable balances. As such, an allowance was not necessary.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Offering Costs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Offering costs represent legal, accounting and other direct costs related to the IPO, which closed on March 7, 2025. Prior to the close of the IPO, these costs were recognized as deferred offering costs. These offering costs were reclassified to additional paid-in capital from deferred offering costs. These amounts are shown, along with underwriters’ fees paid, net against IPO proceeds received in the amount of $1,351,098. Please refer to Note 5 for details.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501"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during the six months ended June 30, 2025, additional offering costs of $1,252,780 were incurred simultaneously with the closing of the IPO. Of this amount, $190,980 is recorded as offering costs and the remaining $1,061,800 is displayed as a net amount against the IPO and over-allotment option proceeds on the condensed consolidated statements of changes in stockholders’ equity (deficit). None were incurred during the three months ended June 30, 2025.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Subscription Receivable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records share issuances at the effective date. If the subscription is not funded upon issuance, the Company records a subscription receivable as an asset on a balance sheet. When subscription receivables are not received prior to the issuance of financial statements at a reporting date in satisfaction of the requirements under Financial Accounting Standards Board (the “FASB”) Accounting Standards Codification (“ASC”) 505-10-45-2, “Equity” — Other Presentation Matters, the subscription receivable is reclassified as a contra account to stockholders’ equity (deficit) on the condensed consolidated balance sheet.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Retention Tax Credit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Coronavirus Aid, Relief, and Economic Security Act (the “CARES Act”) provided an employee retention credit which was a refundable tax credit against certain employment taxes. The Consolidated Appropriations Act (the “Appropriations Act”) extended and expanded the availability of the employee retention credit through December 31, 2021. The Appropriations Act amended the employee retention credit to be equal to 70% of qualified wages paid to employees during the 2021 fiscal year. The Company qualified for the employee retention credit beginning in October 2021 for qualified wages through December 2021 and filed a cash refund claim during year ended December 31, 2023.</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a tax credit receivable of $26,968 and $34,667 included as an other receivable in the current assets section of the Company’s condensed consolidated balance sheets as of June 30, 2025 and December 31, 2024,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Payable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Accounts payable consist of amounts due to vendors and service providers for goods and services received in the ordinary course of business. Accounts payable are recognized when the obligation to pay arises, typically upon receipt of goods or services and are recorded at their nominal amounts, which approximate fair value due to their short-term nature.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standard payment terms with vendors generally range from net 15 to net 60 days. Discounts received from vendors for early payment are recognized when earned. Vendor discounts are recorded as a reduction of the related expense in the accompanying consolidated statements of operations. If such discounts are not clearly associated with a specific expense category, they are recorded as a reduction to cost of goods sold or, if immaterial, may be recognized as other income.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reviews accounts payable regularly to ensure timely payment and to assess the need for accruals for goods or services received but not yet invoiced. At each reporting period, any unbilled amounts are accrued and reflected in accrued liabilities, and estimates are based on historical trends, vendor communication, and other relevant factors.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does not maintain a formal policy for interest on past due payables and generally does not incur material penalties or interest expenses in the normal course of settling vendor obligations.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three and six months ended June 30, 2025 and 2024, the Company recognized other income due to discounts granted by vendors in the amount of $42,650 and $0,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 of Credit Risk</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cash and cash equivalents in financial institutions, which, at times, may exceed the Federal Depository Insurance Coverage of $250,000. As of June 30, 2025, the Company was exposed to significant risks in two of its bank accounts, which had balances that exceeded the insurance coverage amount by a total of $1,298,645. The Company has not experienced any losses in such accounts.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Advertising and Marketing</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expenses advertising and marketing costs as they are incurred. Advertising and marketing expenses were $293,756 and $0 for the six months ended June 30, 2025 and 2024, respectively. The Company incurred $212,306 and $0 in advertising and marketing expenses for the three months ended June 30, 2025 and 2024, respectively.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Measurements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defined in 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fair value is the price that would be received to sell an asset or paid to transfer a liability in an orderly transaction between market participants at the measurement date (exit price). The Company utilizes market data or assumptions that market participants would use in pricing the asset or liability, including assumptions about risk and the risks inherent in the inputs to the valuation technique. These inputs can be readily observable, market corroborated, or generally unobservable. ASC 820 establishes a fair value hierarchy that prioritizes the inputs used to measure fair value. The hierarchy gives the highest priority to unadjusted quoted prices in active markets for identical assets or liabilities (Level 1 measurement) and the lowest priority to unobservable inputs (Level 3 measurement). This fair value measurement framework applies at both initial and subsequent measurement.</w:t>
      </w:r>
    </w:p>
    <w:p>
      <w:pPr>
        <w:spacing w:after="0" w:line="185" w:lineRule="exact"/>
        <w:rPr>
          <w:sz w:val="20"/>
          <w:szCs w:val="20"/>
          <w:color w:val="auto"/>
        </w:rPr>
      </w:pPr>
    </w:p>
    <w:p>
      <w:pPr>
        <w:ind w:left="340"/>
        <w:spacing w:after="0"/>
        <w:tabs>
          <w:tab w:leader="none" w:pos="114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7"/>
          <w:szCs w:val="17"/>
          <w:color w:val="auto"/>
        </w:rPr>
        <w:t>Quoted prices are available in active markets for identical assets or liabilities as of the reporting date.</w:t>
      </w:r>
    </w:p>
    <w:p>
      <w:pPr>
        <w:spacing w:after="0" w:line="225" w:lineRule="exact"/>
        <w:rPr>
          <w:sz w:val="20"/>
          <w:szCs w:val="20"/>
          <w:color w:val="auto"/>
        </w:rPr>
      </w:pPr>
    </w:p>
    <w:p>
      <w:pPr>
        <w:jc w:val="both"/>
        <w:ind w:left="1160" w:hanging="836"/>
        <w:spacing w:after="0" w:line="282" w:lineRule="auto"/>
        <w:tabs>
          <w:tab w:leader="none" w:pos="1140" w:val="left"/>
        </w:tabs>
        <w:rPr>
          <w:sz w:val="20"/>
          <w:szCs w:val="20"/>
          <w:color w:val="auto"/>
        </w:rPr>
      </w:pPr>
      <w:r>
        <w:rPr>
          <w:rFonts w:ascii="Times New Roman" w:cs="Times New Roman" w:eastAsia="Times New Roman" w:hAnsi="Times New Roman"/>
          <w:sz w:val="18"/>
          <w:szCs w:val="18"/>
          <w:color w:val="auto"/>
        </w:rPr>
        <w:t>Level 2:</w:t>
        <w:tab/>
        <w:t>Pricing inputs are other than quoted prices in active markets included in Level 1, which are either directly or indirectly observable as of the reported date. Level 2 includes those financial instruments that are valued using models or other valuation methodologies.</w:t>
      </w:r>
    </w:p>
    <w:p>
      <w:pPr>
        <w:spacing w:after="0" w:line="162" w:lineRule="exact"/>
        <w:rPr>
          <w:sz w:val="20"/>
          <w:szCs w:val="20"/>
          <w:color w:val="auto"/>
        </w:rPr>
      </w:pPr>
    </w:p>
    <w:p>
      <w:pPr>
        <w:jc w:val="both"/>
        <w:ind w:left="1160" w:right="20" w:hanging="836"/>
        <w:spacing w:after="0" w:line="261" w:lineRule="auto"/>
        <w:tabs>
          <w:tab w:leader="none" w:pos="1140" w:val="left"/>
        </w:tabs>
        <w:rPr>
          <w:sz w:val="20"/>
          <w:szCs w:val="20"/>
          <w:color w:val="auto"/>
        </w:rPr>
      </w:pPr>
      <w:r>
        <w:rPr>
          <w:rFonts w:ascii="Times New Roman" w:cs="Times New Roman" w:eastAsia="Times New Roman" w:hAnsi="Times New Roman"/>
          <w:sz w:val="18"/>
          <w:szCs w:val="18"/>
          <w:color w:val="auto"/>
        </w:rPr>
        <w:t>Level 3:</w:t>
        <w:tab/>
        <w:t>Pricing inputs include significant inputs that are generally less observable from objective sources. These inputs may be used with internally developed methodologies that result in management’s best estimate of fair value. The significant unobservable inputs used in the fair value measurement for nonrecurring fair value measurements of long-lived assets include pricing models, discounted cash flow methodologies and similar techniques.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value of the Company’s financial instruments: cash, other receivables, accounts payable and accrued liabilities, and borrowings, approximate their fair values because of the short-term nature of these financial instruments.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measured its stock-based compensation liability at fair value on a recurring basis. Please refer to Note 9 for a discussion on fair value measurements.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Awards with a Guaranteed Minimum-Value Cash Settlement - Technology Purchase Agreements</w:t>
      </w:r>
    </w:p>
    <w:p>
      <w:pPr>
        <w:spacing w:after="0" w:line="2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evaluates its stock-based compensation arrangements within the scope of ASC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The Company has issued an equity award with a guaranteed minimum-value cash settlement in accordance with the terms that were agreed upon by the Company in the Master Services Agreement (“MSA”) with Artemis Ave LLC (“Artemis”) and the Software as a Service Agreement (the “SaaS” Agreement) with EVEMeta, LLC (“EVEMeta”). Subsection ASC 718-10-20 defines these equity awards as combination awards. Under this classification, the share grant is accounted for as an equity-classified award measured at grant-date fair value, and the cash-settled written put option is liability classified and marked to fair value at each reporting period. Compensation costs for the share grant are measured and fixed on the date of grant and recognized over the vesting period, which is consistent with the delivery of goods and services. Compensation costs associated with the cash-settled written put option should be recognized over the vesting period based on the remeasured fair value at each reporting period, which is consistent with the delivery of goods and services from the vendor, until settlement. To value the cash-settled written put option, the Company remeasures the fair market value of the written put option via an appropriate option pricing model in accordance with ASC 718, and records the appropriate liability as of each reporting period with a corresponding adjustment to software expense. The Company determines the fair value of the liability using a Monte Carlo simulation model at each reporting period. On May 12, 2025, the Company amended the Artemis MSA and EVEMeta SaaS agreements and removed the guaranteed minimum-value cash settlement in exchange for cash payments totaling $250,000. This amendment effectively settled the stock-based compensation liability. A valuation was completed as of May 12, 2025, and the fair value measurement of the cash-settled written put option for services provided thus far resulted in an additional stock-based compensation liability of $72,277, for a total balance of $116,669. The settlement of the stock-based compensation liability in exchange for a cash payment of $250,000 resulted in the derecognition of the total liability balance of $116,669 and an other expense of $133,331 for the difference. As of June 30, 2025, a stock-based compensation liability no longer exists.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refer to Notes 4 and 5 for a detailed explanation of the terms of the technology purchase agreements.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Cloud Computing Arrangements - Technology Purchase Agreements</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Company applies the guidance under ASC 350-40, “</w:t>
      </w:r>
      <w:r>
        <w:rPr>
          <w:rFonts w:ascii="Times New Roman" w:cs="Times New Roman" w:eastAsia="Times New Roman" w:hAnsi="Times New Roman"/>
          <w:sz w:val="18"/>
          <w:szCs w:val="18"/>
          <w:i w:val="1"/>
          <w:iCs w:val="1"/>
          <w:color w:val="auto"/>
        </w:rPr>
        <w:t>Intangibles – Goodwill and Other-Internal-Use Software</w:t>
      </w:r>
      <w:r>
        <w:rPr>
          <w:rFonts w:ascii="Times New Roman" w:cs="Times New Roman" w:eastAsia="Times New Roman" w:hAnsi="Times New Roman"/>
          <w:sz w:val="18"/>
          <w:szCs w:val="18"/>
          <w:color w:val="auto"/>
        </w:rPr>
        <w:t>”, when evaluating the applicable accounting treatment for the purchase of technological products and services. The Company has determined that the MSA with Artemis and the SaaS agreement with EVEMeta constitute a cloud computing arrangement (“CCA”). The terms of the agreements provide for software development, which include CCA implementation costs, support and maintenance services, and the use of the EVEMeta compression software. The Company accounts for the CCA implementation costs in a different manner than the support and maintenance services from the Artemis agreement and the terms of the SaaS agreement with EVEMeta.</w:t>
      </w:r>
    </w:p>
    <w:p>
      <w:pPr>
        <w:spacing w:after="0" w:line="1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capitalizes implementation costs associated with its CCA consistent with costs capitalized for internal-use software. The stock-based payments provided in advance for implementation costs are recorded as capitalized implementation costs as the services are rendered. Capitalized implementation costs related to the CCA are included on the condensed consolidated balance sheets. The CCA implementation costs are amortized over the term of the related hosting agreement, including renewal periods that are reasonably certain to be exercised. Amortization will begin only when the software is placed into use and the amortization expense will be recorded as an operating expense. As of December 31, 2024, $63 was recognized as a non-current prepaid expense asset related to the development services to be provided by Artemis. As of June 30, 2025 and December 31, 2024, $389,171 and $0 was recognized, respectively, as capitalized implementation costs related to the Company’s cloud computing arrangements and no amortization expense has been recognized for the three or six months ended June 30, 2025 or 2024 as the software is in the process of being developed by Artemis. The amount of $389,171 is a recognition of $312,500 for services provided, which included the reclassification of the $63 recorded as a non-current prepaid expense asset as of December 31, 2024, and a portion of the change in fair value of the stock-based compensation liability which equaled $76,671 during the six months ended June 30, 2025. During the three months ended June 30, 2025 and 2024, the Company recognized an increase of $187,500 in connection with services provided and a portion of the change in fair value of the stock-based compensation liability which equaled $41,331.</w:t>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costs associated with the support and maintenance services and the use of the EVEMeta compression software are recorded as software expenses over the service period defined in the respective agreements. As of December 31, 2024, $62 was recognized as a non-current prepaid expense asset related to the services by Artemis and EVEMeta for support and maintenance. During the six months ended June 30, 2025, the Company recorded software expenses of $159,091 in connection with the services rendered with the support and maintenance services and the use of the EVEMeta compression software, which included the expensing of the $62 recorded as a non-current prepaid expense asset as of December 31, 2024. During the three months ended June 30, 2025, the Company recorded software expenses of $119,319 in connection with the services rendered with the support and maintenance services and the use of the EVEMeta compression software.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Debt</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Company accounts for convertible debt instruments in accordance with the provisions of ASC 470-20, “</w:t>
      </w:r>
      <w:r>
        <w:rPr>
          <w:rFonts w:ascii="Times New Roman" w:cs="Times New Roman" w:eastAsia="Times New Roman" w:hAnsi="Times New Roman"/>
          <w:sz w:val="18"/>
          <w:szCs w:val="18"/>
          <w:i w:val="1"/>
          <w:iCs w:val="1"/>
          <w:color w:val="auto"/>
        </w:rPr>
        <w:t>Debt with Conversion and Other Options</w:t>
      </w:r>
      <w:r>
        <w:rPr>
          <w:rFonts w:ascii="Times New Roman" w:cs="Times New Roman" w:eastAsia="Times New Roman" w:hAnsi="Times New Roman"/>
          <w:sz w:val="18"/>
          <w:szCs w:val="18"/>
          <w:color w:val="auto"/>
        </w:rPr>
        <w:t>”. Under this guidance, convertible debt instruments that do not meet the criteria for separation of embedded conversion features from the host contract are accounted for as a single liability. If a convertible debt instrument contains embedded features (e.g., conversion options, redemption rights) that require separate accounting under ASC 815, the Company evaluates such features and bifurcates them as derivative liabilities when applicable. Issuance costs related to convertible debt are presented as a direct deduction from the carrying amount of the liability and are amortized to interest expense over the term of the debt using the effective interest method.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Shares Payable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incurred obligations that are payable in shares of the Company’s equity. If shares are not issued to satisfy those obligations, a short-term liability is recognized as a share payable. The Company has a share payable balance of $6,734 and $32,500 as of June 30, 2025 and December 31, 2024, respectively. Please refer to Notes 6 and 10 for more detail.</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recognizes revenue from the sale of products and services in accordance with ASC 606, “Revenue Recognition” following the five step procedure:</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Step 1: Identify the contract(s) with customers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Step 2: Identify the performance obligations in the contract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Step 3: Determine the transaction price</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Step 4: Allocate the transaction price to performance obligations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Step 5: Recognize revenue when or as performance obligations are satisfied</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generates revenues mainly from advertising, sponsorship and league tournaments. An insignificant amount of revenue is generated through the operation of its live streaming platform using a revenue model whereby gamers and creators can get free access to certain live streaming of amateur tournaments, and gamers and creators pay fees or subscriptions to compete in league competitions. Streaming revenue amounts are recognized as live-streaming services on the condensed consolidated statements of operations and comprehensive loss.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Translation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Company’s non-U.S. operations where the functional currency is the local currency, the Company translates assets and liabilities at exchange rates in effect at the balance sheet date and record translation adjustments in stockholders’ equity. The Company translates income statement amounts at average rates for the period. Transaction gains and losses are recorded in other (income) expense, net in the Condensed Consolidated Statement of Operations and Comprehensive Loss.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Comprehensive Loss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reports comprehensive loss and its components in its condensed consolidated financial statements. Comprehensive loss consists of net loss and foreign currency translation adjustments, affecting stockholders’ equity (deficit) that, under U.S, GAAP, is excluded from net loss.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 per Common Share</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computation of earnings per share (“EPS”) includes basic and diluted EPS in accordance with ASC 260,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Basic EPS is measured as the income (loss) available to common stockholders divided by the weighted average common shares outstanding for the period. Diluted income (loss) per share reflects the potential dilution, using the if-converted and treasury stock methods, that could occur if securities or other contracts to issue common stock were exercised or converted into common stock or resulted in the issuance of common stock that then shared in the income (loss) of the Company as if they had been converted at the beginning of the periods presented, or issuance date, if later. In computing diluted income (loss) per share, the treasury stock method assumes that outstanding options and warrants have been exercised, and the proceeds have been used to purchase common stock at the average market price during the period. Options and warrants may have a dilutive effect under the treasury stock method only when the average market price of the common stock during the period exceeds the exercise price of the options and warrants. Potential common shares that have an anti-dilutive effect (i.e., those that increase income per share or decrease loss per share) are excluded from the calculation of diluted EPS. All outstanding convertible promissory notes are considered common stock at the beginning of the period or at the time of issuance, if later, pursuant to the if-converted method. Since the effect of common stock equivalents is anti-dilutive with respect to losses, the shares issuable upon conversion have been excluded from the Company’s computation of net loss per common share for the three and six months ended June 30, 2025 and 2024.</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securities that are excluded from the diluted per share calculation because the effect of including these potential shares is anti-dilutive due to the Company’s net loss.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560" w:type="dxa"/>
            <w:vAlign w:val="bottom"/>
            <w:gridSpan w:val="4"/>
          </w:tcPr>
          <w:p>
            <w:pPr>
              <w:ind w:left="680"/>
              <w:spacing w:after="0"/>
              <w:rPr>
                <w:sz w:val="20"/>
                <w:szCs w:val="20"/>
                <w:color w:val="auto"/>
              </w:rPr>
            </w:pPr>
            <w:r>
              <w:rPr>
                <w:rFonts w:ascii="Times New Roman" w:cs="Times New Roman" w:eastAsia="Times New Roman" w:hAnsi="Times New Roman"/>
                <w:sz w:val="18"/>
                <w:szCs w:val="18"/>
                <w:b w:val="1"/>
                <w:bCs w:val="1"/>
                <w:color w:val="auto"/>
              </w:rPr>
              <w:t>As of June 30,</w:t>
            </w:r>
          </w:p>
        </w:tc>
        <w:tc>
          <w:tcPr>
            <w:tcW w:w="0" w:type="dxa"/>
            <w:vAlign w:val="bottom"/>
          </w:tcPr>
          <w:p>
            <w:pPr>
              <w:spacing w:after="0"/>
              <w:rPr>
                <w:sz w:val="1"/>
                <w:szCs w:val="1"/>
                <w:color w:val="auto"/>
              </w:rPr>
            </w:pPr>
          </w:p>
        </w:tc>
      </w:tr>
      <w:tr>
        <w:trPr>
          <w:trHeight w:val="237"/>
        </w:trPr>
        <w:tc>
          <w:tcPr>
            <w:tcW w:w="8680" w:type="dxa"/>
            <w:vAlign w:val="bottom"/>
            <w:tcBorders>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Debt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1,781,189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Unvested Restricted Stock</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34,891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107,682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Payable</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9,522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82,097</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44,413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1,970,967</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2025, no dividends have been declared since inception and all classes of BHHI’s stock do not have cumulative dividend features. As such, the Company did not include any adjustment to the net loss for dividends. Ultimately, there was no adjustment needed to determine dilutive loss per share and only basic loss per share was calculated.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represents the calculation for both basic and diluted net loss per share: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gridSpan w:val="5"/>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200" w:type="dxa"/>
            <w:vAlign w:val="bottom"/>
          </w:tcPr>
          <w:p>
            <w:pPr>
              <w:spacing w:after="0"/>
              <w:rPr>
                <w:sz w:val="18"/>
                <w:szCs w:val="18"/>
                <w:color w:val="auto"/>
              </w:rPr>
            </w:pPr>
          </w:p>
        </w:tc>
        <w:tc>
          <w:tcPr>
            <w:tcW w:w="234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5"/>
        </w:trPr>
        <w:tc>
          <w:tcPr>
            <w:tcW w:w="59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ind w:left="70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59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(2,772,890)</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(1,991,124)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(1,705,217)</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(956,963)</w:t>
            </w:r>
          </w:p>
        </w:tc>
        <w:tc>
          <w:tcPr>
            <w:tcW w:w="100" w:type="dxa"/>
            <w:vAlign w:val="bottom"/>
            <w:shd w:val="clear" w:color="auto" w:fill="CCEEFF"/>
          </w:tcPr>
          <w:p>
            <w:pPr>
              <w:spacing w:after="0"/>
              <w:rPr>
                <w:sz w:val="18"/>
                <w:szCs w:val="18"/>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shares outstanding – Basic and Diluted</w:t>
            </w:r>
          </w:p>
        </w:tc>
        <w:tc>
          <w:tcPr>
            <w:tcW w:w="22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9,238,766</w:t>
            </w:r>
          </w:p>
        </w:tc>
        <w:tc>
          <w:tcPr>
            <w:tcW w:w="2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5,632,037</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10,776,595</w:t>
            </w:r>
          </w:p>
        </w:tc>
        <w:tc>
          <w:tcPr>
            <w:tcW w:w="3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5,626,941</w:t>
            </w: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per share – Basic and Diluted</w:t>
            </w: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Company follows the asset and liability method of accounting for income taxes under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Company’s temporary differences result primarily from capitalization of certain qualifying research and development expenses, stock-based compensation, and net operating loss carryovers. The effect on deferred tax assets and liabilities of a change in tax rates is recognized in income in the period that includes the enactment date. A valuation allowance is recorded for deferred tax assets if it is more likely than not that some portion or all of the deferred tax assets will not be realized.</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recognizes the effect of income tax positions only if those positions are more likely than not to be sustained. Recognized income tax positions are measured at the largest amount that is greater than 50% of likely being realized. Changes in recognition or measurement are reflected in the period in which the change in judgment occurs.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records interest related to unrecognized tax benefits in interest expense and penalties in selling, general and administrative expenses.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with stockholder’s consent, elected to be taxed as an “S-Corporation” during the years prior to 2021 under the provisions of the Internal Revenue Code under Section 1362(a) and comparable state income tax law. As an S-Corporation, the Company is generally not subject to corporate income taxes and the Company’s net income or loss is reported on the individual tax return of the stockholders of the Company. As a result of the UK Reorganization, the Company was no longer eligible to elect an S-Corporation status for tax purposes and was subject to tax filings as a C-Corporation for the years ending 2021 through 2023. The Company is in the process of filing all necessary Federal and State tax returns as a C-Corporation for the years ending 2021 through 2024, and has accrued $95,000 as of June 30, 2025 and December 31, 2024 for any potential non-compliance penalties that may be incurred as a selling, general and administrative expense.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identified its Federal, New York state, and United Kingdom tax returns as its “major” tax jurisdictions. The period for income tax returns that are subject to examination for the United Kingdom jurisdiction is 2021. All other periods for income tax returns are subject to examination for the federal and New York state jurisdictions. The Company believes its income tax filing positions and deductions will be sustained on audit, and management does not anticipate any adjustments that would result in a material change to its financial position. Therefore, no liabilities for uncertain tax positions have been recorded.</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At June 30, 2025, the Company had approximately $11,699,829 in gross federal net operating loss carry-forwards. The Company also had approximately $13,360,388 in gross state net operating loss carry-forwards. As a result of the Tax Cuts Job Act 2017 (the “Act”), certain future federal carry-forwards do not expire. Beginning in 2018, under the TCJ Act, federal loss carryforwards have an unlimited carryforward period, however such losses can only offset 80% of taxable income in any one year. The Company has not performed a formal analysis, but believes its ability to use such net operating losses and tax credit carry-forwards in the future is subject to annual limitations due to change of control provisions under Sections 382 and 383 of the Internal Revenue Code, which will significantly impact its ability to realize these deferred tax assets. For net loss carryforwards in the State of New York, the Company is able to carry it back three tax years preceding the tax year of the loss (the loss year). However, a loss cannot be carried back to a tax year beginning before January 1, 2015. The loss is first carried to the earliest of the three tax years. If it is not entirely used in that year, the remainder is carried to the second tax year preceding the loss year, and any remaining amount is carried to the tax year immediately preceding the loss year. Any unused amount of loss then remaining may be carried forward for as many as 20 tax years following the loss year. Losses carried forward are carried forward first to the tax year immediately following the loss year, then to the second tax year following the loss year, and then to the next immediately subsequent tax year or years until the loss is used up or the 20th tax year following the loss year, whichever comes first</w:t>
      </w:r>
    </w:p>
    <w:p>
      <w:pPr>
        <w:spacing w:after="0" w:line="1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recorded a valuation allowance in the full amount of its net deferred tax assets since realization of such tax benefits has been determined by the Company’s management to be less likely than not. The valuation allowance increased $487,765 during the six months ended June 30,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effective tax rate is 0% for the three and six months ended June 30, 2025 and 2024.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evaluates its stock-based compensation arrangements within the scope of ASC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The Company measures and records the expense related to stock-based payment awards based on the fair value of those awards as determined on the date of grant. The Company recognizes stock-based compensation expense over the requisite service period of the grant, generally equal to the vesting period, and uses the straight-line method to recognize stock-based compensation. For stock options with performance conditions, the Company records compensation expense when it is deemed probable that the performance condition will be met. Companies typically use the Black-Scholes-Merton (“Black-Scholes”) option-pricing model to determine the fair value of stock awards. The Black-Scholes option-pricing model requires the use of highly subjective and complex assumptions, which determine the fair value of stock- based awards, including the option’s expected term and the price volatility of the underlying stock. The Company issued 1,052,888 shares of stock options as of June 30, 2025. The Company issued 44,250 warrant shares to the underwriter in connection with the IPO as of June 30, 2025. Please refer to Notes 1 and 5 for more information on the Underwriter Warrants. Stock-based payment awards, such as stock options or restricted stock awards, are valued based on the fair value on the date of grant and amortized ratably over the estimated life of the award. Stock-based payment awards may vest based on the passage of time, or upon occurrence of a specific event or achievement of goals as defined in the grant agreements. In such cases, the Company records compensation expenses related to grants of stock-based payment awards on management’s estimates of the probable dates of the vesting events. The Company recognizes forfeitures of stock-based payment awards as they occur.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but not yet Adopted Accounting Pronouncements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14, 2023, the FASB issued ASU 2023-09, Income Taxes (Topic 740). This ASU requires the use of consistent categories and greater disaggregation in tax rate reconciliations and income taxes paid disclosures. These amendments are effective for fiscal years beginning after December 15, 2024 and for interim periods in fiscal years beginning after December 31, 2025. These income tax disclosure requirements can be applied either prospectively or retrospectively to all periods presented in the financial statements. Management is currently evaluating the impact of adopting this standard, and do not expect it to have a material impact on the financial statements.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(Subtopic 220-40): Disaggregation of Income Statement Expenses.” The standard requires that public business entities disclose additional information about specific expense categories in the notes to financial statements for interim and annual reporting periods. The standard will become effective for the Company for its fiscal year 2027 annual financial statements and interim financial statements thereafter and may be applied prospectively to periods after the adoption date or retrospectively for all prior periods presented in the financial statements, with early adoption permitted. The Company plans to adopt the standard beginning with the fiscal year 2027 annual financial statements, and management is currently evaluating the impact this standard will have on the disclosures included in the notes to the financial statements.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July 2025, the FASB issued Accounting Standards Update (ASU) 2025-05, Financial Instruments – Credit Losses (Topic 326): Measurement of Credit Losses for Accounts Receivable and Contract Assets. This ASU introduces a practical expedient, applicable to all entities, permitting the assumption that current conditions as of the balance sheet date remain unchanged over the remaining life of current accounts receivable and current contract assets arising from transactions under ASC 606. These amendments are effective for annual periods beginning after December 15, 2025, including interim periods within those fiscal years, with early adoption permitted. The guidance is to be applied prospectively. The Company is currently evaluating the impact of ASU 2025-05 on its accounting estimates and allowance methodology. At this time, the Company has not yet determined the effect, if any, that adoption of this ASU will have on its consolidated financial position, results of operations, disclosures, or processes.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RELATED PARTY TRANSACTIONS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follows ASC 850, “</w:t>
      </w:r>
      <w:r>
        <w:rPr>
          <w:rFonts w:ascii="Times New Roman" w:cs="Times New Roman" w:eastAsia="Times New Roman" w:hAnsi="Times New Roman"/>
          <w:sz w:val="18"/>
          <w:szCs w:val="18"/>
          <w:i w:val="1"/>
          <w:iCs w:val="1"/>
          <w:color w:val="auto"/>
        </w:rPr>
        <w:t>Related Party Disclosures</w:t>
      </w:r>
      <w:r>
        <w:rPr>
          <w:rFonts w:ascii="Times New Roman" w:cs="Times New Roman" w:eastAsia="Times New Roman" w:hAnsi="Times New Roman"/>
          <w:sz w:val="18"/>
          <w:szCs w:val="18"/>
          <w:color w:val="auto"/>
        </w:rPr>
        <w:t>,” for the identification of related parties and disclosure of related party transactions.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2025, and December 31, 2024, the Company had payables to the Company’s co-founder and Chief Executive Officer, the Company’s co-founder and Chief Operating Officer, the Company’s Chief Financial Officer, and an employee, for reimbursable expenses totaling $2,001 and $24,303, respectively.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COMMITMENTS AND CONTINGENCIES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evaluates its business transactions and agreements during the course of business to identify whether any contingencies or commitments exist which would give rise to the recognition of a loss or liability. The Company is currently not involved with or knows of any pending or threatening litigation against the Company or any of its officers. Further, the Company is currently complying with all relevant laws and regulations and does not have any long-term commitments or guarantees.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Marketing Agreement</w:t>
      </w:r>
    </w:p>
    <w:p>
      <w:pPr>
        <w:spacing w:after="0" w:line="22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In March of 2024, the Company entered into a marketing agreement with Outside the Box Capital, Inc. (“OTB Capital”) for marketing services to be provided for the six-month period from May 1, 2024 to October 31, 2024. Compensation for these services will be $100,000 in cash and due upon the earlier of the successful completion of the Company’s IPO or within six months from the effective date of the agreement. Additionally, the Company will issue shares of BHHI Common Stock, priced at the IPO, totaling $200,000 which equals 50,000 shares. These shares became due 10 days after the successful completion of the Company’s IPO on March 6, 2025, deemed the listing date, and were issued in April of 2025. This balance of $200,000, which is an increase to stockholders’ equity for the issuance of common stock for services for the three and six months ended June 30, 2025, was separated into 6</w:t>
      </w:r>
    </w:p>
    <w:p>
      <w:pPr>
        <w:spacing w:after="0" w:line="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months of service and the portion of the remaining period of approximately two months representing the days between July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through September 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$66,666, was added to the prepaid expense balance during the three months ended June 30, 2025. Lastly, if within the term of the Company’s agreement with OTB Capital, the Company’s shares achieve a 7-day moving average (calculated using daily VWAP) share price of $9 or more, the Company will issue an additional 50,000 shares to OTB Capital. This share price threshold was not achieved during the six or three months ended June 30, 2025. Services under this contract were not provided during the expected service period of May through October of 2024. A modification of the agreement was negotiated and finalized in November of 2024. Services were amended to begin on December 15, 2024 through June 15, 2025. Services had not yet commenced as of December 31, 2024 and through March 5, 2025. As a result, another modification of the agreement was executed on March 28, 2025. This new agreement revised the dates of service to begin on March 6, 2025 through September 6, 2025. It also revised the terms of compensation and, as a result, the base compensation of $100,000 will be payable in two tranches, the first payment for $50,000 within 10 business days following the Company’s listing date as a publicly traded company (“Listing Date”) and the second and final payment for the remaining amount will be due three months from the Listing Date. The first payment of $50,000 was made in April of 2025 and the final payment was made on June 5, 2025. No accrual for a liability was required or recorded as of December 31, 2024. The balance of $50,000 of the final payment was separated into 3 months of service and the portion of one month representing the month of June, $16,667, was recorded as an advertising and marketing expense, while the amount for the remaining two months, $33,333, was recorded as a prepaid expense during the three months ended June 30, 2025. A total of $66,667 was recorded as an advertising and marketing expense during the six months ended June 30, 2025. Please refer to Note 10 for further details.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Broncos Sponsorship Agreement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2023, the Company entered into a sponsorship agreement with Stadium Management Company and the Denver Broncos. This resulted in marketing expenses totaling $305,000 accrued during the year ended December 31, 2023. In September of 2024, the parties terminated the sponsorship agreement and this resulted in a reduction of the payable amount from $305,000 to $61,000. The reduction of $244,000 was recorded as other income during the three and six months ended September 30, 2024. The balance of $61,000 remains outstanding as of June 30, 2025 and December 31, 2024, and is recorded as accounts payable on the balance sheet.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Technology Purchase Agreements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November 13, 2024 (the “Artemis Effective Date”), the Company entered into a MSA with Artemis, a skilled technology company, whereby Artemis agreed to develop a proprietary machine learning solution for the Company’s platform (the “Software”) and provide certain services. In exchange, the Company agreed to issue 937,500 shares of its Common Stock to Artemis (the “Artemis Stock Consideration”) in December 2024. The Artemis Stock Consideration is subject to a lock-up provision, with shares of the Artemis Stock Consideration to be released in three (3) equal tranches of 312,500 shares each according to the terms outlined in the MSA and the respective Statements of Work (“SOWs”) attached thereto. In connection with the execution of the MSA, on November 13, 2024 (the “EVEMeta Effective Date”), the Company entered into a SaaS Agreement with EVEMeta, an innovative technology company, whereby EVEMeta agreed to license its solution to the Company. In exchange, the Company agreed to issue 312,500 shares of its Common Stock to EVEMeta (the “EVEMeta Stock Consideration” and, collectively, with the Artemis Stock Consideration, the “Stock Consideration”). The 1,250,000 shares granted to Artemis and EVEMeta in exchange for services had a fair market value of $4.00 per share at the date of grant for a total cost of $5,000,000. Further, once released from lock up, the Company will provide each vendor with a guarantee of a minimum value for the released shares for 18 months from the date of release. In the event that either vendor is not able to resell the shares at the IPO price of $4.00 per share, the Company will make additional payments under its minimum value guarantee to the vendor in cash to ensure a total compensation of $3,750,000 to Artemis and $1,250,000 to EVEMeta. Those payments will be made in cash and not in additional shares of Common Stock.</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4 — COMMITMENTS AND CONTINGENCIES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issuances of the Stock Consideration are accounted for as a combination award in accordance with the accounting provisions under ASC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xml:space="preserve"> and ASC 350-40, “</w:t>
      </w:r>
      <w:r>
        <w:rPr>
          <w:rFonts w:ascii="Times New Roman" w:cs="Times New Roman" w:eastAsia="Times New Roman" w:hAnsi="Times New Roman"/>
          <w:sz w:val="18"/>
          <w:szCs w:val="18"/>
          <w:i w:val="1"/>
          <w:iCs w:val="1"/>
          <w:color w:val="auto"/>
        </w:rPr>
        <w:t>Intangibles – Goodwill and Other-Internal-Use Software</w:t>
      </w:r>
      <w:r>
        <w:rPr>
          <w:rFonts w:ascii="Times New Roman" w:cs="Times New Roman" w:eastAsia="Times New Roman" w:hAnsi="Times New Roman"/>
          <w:sz w:val="18"/>
          <w:szCs w:val="18"/>
          <w:color w:val="auto"/>
        </w:rPr>
        <w:t>” as noted in Note 2, regarding the technology purchase agreements.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Stock Consideration is classified as a combination of equity awards (referred to herein as Issuance of Common Stock for Services) or liability awards (referred to herein as Stock-Based Compensation Liability) in accordance with GAAP. The fair value of an equity-classified award is determined at the grant date and is either recognized as an expense to software expense, an operating expense, on a straight-line basis over the service period, or is capitalized as an implementation cost and amortized to software expense over the useful life of the cloud computing arrangement once the software is placed in use. Whether the amount is expensed or capitalized is based on the respective statement of work in each agreement, the value attributed to each and the realization of those services. The fair value of a liability-classified award is determined on a quarterly basis beginning at the grant date until final vesting. Changes in the fair value of liability-classified awards are either recorded to software expense, an operating expense, on a straight-line basis over the service period, or capitalized as an implementation cost and amortized to software expense over the useful life of the cloud computing arrangement once the software is placed in use. Changes in the fair value of liability-classified awards do not result in an impact to the Company’s stockholders’ equity balance.</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2024, the Company only recognized the par value of the shares that were issued and has recorded $125 as a non-current prepaid expense in other assets. The services in accordance with the agreements commenced on the Company’s IPO date, March 7, 2025, and as of June 30, 2025, services have been performed under the agreements and compensation costs for the services rendered has been recognized as a software expense or capitalized to capitalized implementation costs, based on the respective agreements.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recognized the following amounts in total non-employee stock-based compensation costs in relation to the Stock Consideration issued for the technology purchase agreements for the six and three months ended June 30, 2025 and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gridSpan w:val="3"/>
          </w:tcPr>
          <w:p>
            <w:pPr>
              <w:jc w:val="right"/>
              <w:ind w:right="254"/>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5"/>
        </w:trPr>
        <w:tc>
          <w:tcPr>
            <w:tcW w:w="59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gridSpan w:val="3"/>
          </w:tcPr>
          <w:p>
            <w:pPr>
              <w:jc w:val="right"/>
              <w:ind w:right="614"/>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ind w:left="6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59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Consideration - Total Expensed</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5"/>
              </w:rPr>
              <w:t>199,089</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34"/>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5"/>
              </w:rPr>
              <w:t>150,265</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Stock Consideration - Total Capitalized</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389,171</w:t>
            </w:r>
          </w:p>
        </w:tc>
        <w:tc>
          <w:tcPr>
            <w:tcW w:w="900" w:type="dxa"/>
            <w:vAlign w:val="bottom"/>
          </w:tcPr>
          <w:p>
            <w:pPr>
              <w:jc w:val="right"/>
              <w:ind w:right="734"/>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228,831</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Equity-Classified Awards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recognized the following amounts in non-employee equity-classified stock-based compensation costs for the six and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2025 and 2024:</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gridSpan w:val="3"/>
          </w:tcPr>
          <w:p>
            <w:pPr>
              <w:jc w:val="right"/>
              <w:ind w:right="254"/>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5"/>
        </w:trPr>
        <w:tc>
          <w:tcPr>
            <w:tcW w:w="59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gridSpan w:val="3"/>
          </w:tcPr>
          <w:p>
            <w:pPr>
              <w:jc w:val="right"/>
              <w:ind w:right="614"/>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ind w:left="6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59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Equity-Classified Awards - Expensed</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5"/>
              </w:rPr>
              <w:t>159,091</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34"/>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2"/>
              </w:rPr>
              <w:t>119,319</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Equity-Classified Awards - Capitalized</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312,500</w:t>
            </w:r>
          </w:p>
        </w:tc>
        <w:tc>
          <w:tcPr>
            <w:tcW w:w="900" w:type="dxa"/>
            <w:vAlign w:val="bottom"/>
          </w:tcPr>
          <w:p>
            <w:pPr>
              <w:jc w:val="right"/>
              <w:ind w:right="734"/>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187,500</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June 30, 2025, there was $4.5 million of total unrecognized compensation cost related to the Company’s equity-classified awards. This cost is expected to be recognized over a weighted-average period of 6.25 years. During the six and three months ended June 30, 2025, the Company recorded software expenses of $159,091 and $119,319, respectively, in connection with the services rendered with the support and maintenance services with Artemis and the use of the EVEMeta compression software, which included the expensing of the $62 previously recorded as a non-current prepaid expense asset and Common Stock as of December 31, 2024, for a total increase to stockholders’ equity of $159,029 and $119,319 during the six and three months ended June 30, 2025, respectively. Further, during the six and three months ended June 30, 2025, the Company recorded an increase to capitalized implementation costs of $312,500 and $187,500, respectively, in connection with the development services rendered, which included the expensing of the $63 previously recorded as a non-current prepaid expense asset and Common Stock as of December 31, 2024, for a total increase to stockholders’ equity of $312,437 during the six months ended June 30, 2025. As a result, the total increase to stockholders’ equity for the issuance of common stock for services was $471,466 for the six months ended June 30, 2025, which is the sum of the aforementioned $312,437 and $159,029 amounts. For the three months ended June 30, 2025, there was an increase of $306,819 to stockholders’ equity for the issuance of common stock for services.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4 — COMMITMENTS AND CONTINGENCIES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Liability-Classified Awards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recognized the following amounts in non-employee liability-classified stock-based compensation costs for the six and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2025 and 2024:</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gridSpan w:val="3"/>
          </w:tcPr>
          <w:p>
            <w:pPr>
              <w:jc w:val="right"/>
              <w:ind w:right="254"/>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5"/>
        </w:trPr>
        <w:tc>
          <w:tcPr>
            <w:tcW w:w="59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gridSpan w:val="3"/>
          </w:tcPr>
          <w:p>
            <w:pPr>
              <w:jc w:val="right"/>
              <w:ind w:right="614"/>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ind w:left="6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59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Liability-Classified Awards - Expensed</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2"/>
              </w:rPr>
              <w:t>39,998</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34"/>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2"/>
              </w:rPr>
              <w:t>30,946</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Liability-Classified Awards - Capitalized</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76,671</w:t>
            </w:r>
          </w:p>
        </w:tc>
        <w:tc>
          <w:tcPr>
            <w:tcW w:w="900" w:type="dxa"/>
            <w:vAlign w:val="bottom"/>
          </w:tcPr>
          <w:p>
            <w:pPr>
              <w:jc w:val="right"/>
              <w:ind w:right="734"/>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41,331</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12, 2025, the Company executed an amendment to the MSA with Artemis. The amendment eliminated the minimum share price guarantee, therefore no longer requiring the Company to guarantee a minimum return of $4 on the sale of each share received in compensation for the MSA. The amendment triggered a cash payment of $225,000 by the Company to Artemis. Further, the Company agreed to remove the lock-up provision and gradual release obligations relating only to the stock consideration included in Exhibit A of the amended agreement, which releases 234,375 shares of Common Stock as of the amendment date.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the same day, the Company executed an amendment to the SaaS Agreement with EVEMeta. The amendment eliminated the minimum share price guarantee, therefore no longer requiring the Company to guarantee a minimum return of $4 on the sale of each share received in compensation for the SaaS Agreement. The amendment triggered a cash payment of $25,000 by the Company to EVEMeta. No shares were released from lock-up provisions for EVEMeta.</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12, 2025, the Company completed a fair value measurement valuation for the cash settlement provision, the liability classified award, using a Monte Carlo simulation model and determined a total fair value of $2,942,136. The Company recognized a stock-based compensation liability from the total fair value only to the extent in which services were provided to the Company through the amendment date, which resulted in partial recognition and was an estimate by the Company as of the amendment date. This resulted in the recognition of an increase to the stock-based compensation liability of $44,392 as of March 31, 2025 for $72,277 from April 1, 2025 through the amendment date, of which $41,331 was capitalized to capitalized implementation costs and $30,946 was expensed as a software expense. During the three months ended June 30, 2025, these amounts did not have an impact on the balance of the Company’s stockholders’ equity.</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May 12, 2025, the Company recognized a stock-based compensation liability of $116,669, of which $76,671 was capitalized to capitalized implementation costs and $39,998 was expensed as a software expense. The stock-based compensation liability was extinguished as a result of the amendment on May 12,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STOCKHOLDERS’ EQUITY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Structure</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December 3, 2021, BHHI was incorporated and the Company authorized 50,000,000 shares of Common Stock with a par value of $0.0001 per share and 5,000,000 shares of preferred stock with a par value of $0.0001 per share. On February 22, 2022, the certificate of incorporation was amended and the Company authorized 250,000,000 shares of Common Stock with a par value of $0.0001 per share and 25,000,000 shares of preferred stock with a par value of $0.0001 per share. Further, the Company designated 200,000 shares of preferred stock as Series A preferred stock with a par value of $0.0001 per share. Shares of convertible Series A preferred stock and Common Stock (the “Junior Securities”) are entitled to one vote for each share. In order of liquidation rights, distributions will be made to the Series A preferred holders then to the holders of the other remaining Junior Securities, which are currently Common Stock. The Series A preferred stock has a liquidation preference of $0.50 per share in the event of a liquidation and distribution. Further, each share of Convertible Series A preferred stock shall automatically convert into one share of Common Stock upon consummation of an underwritten public offering of Common Stock. The Company completed an initial public offering during March of 2025. Please refer to Note 1 and the following section for the details of the IPO. There were no shares of Series A preferred stock issued and outstanding during any period since inception, and 0 shares and 82,096 shares of preferred stock issued and outstanding as of June 30, 2025 and December 31, 2024, respectively. Further, a total of 10,822,588 and 7,033,330 shares of Common Stock were issued and outstanding as of June 30, 2025 and December 31, 2024, respectively.</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25, 2025, the Company filed a certificate of designation with the Secretary of State of the State of Delaware to designate 15,000 shares of the available 24,800,000 shares of Preferred Stock as Series B Preferred Stock. On July 30, 2025, an amendment was filed to establish that each share is non-voting. Please refer to Note 10 for subsequent events.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5 — STOCKHOLDERS’ EQUITY </w:t>
      </w:r>
      <w:r>
        <w:rPr>
          <w:rFonts w:ascii="Times New Roman" w:cs="Times New Roman" w:eastAsia="Times New Roman" w:hAnsi="Times New Roman"/>
          <w:sz w:val="18"/>
          <w:szCs w:val="18"/>
          <w:color w:val="auto"/>
        </w:rPr>
        <w:t>(cont.)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Initial Public Offering</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14, 2025, the Company received its notice of effectiveness from the SEC and became a public company. On March 5, 2025, the Company entered into a material definitive agreement in the form of an underwriting agreement with Kingswood as representative of the underwriters named therein, for the offer and sale of 1,475,000 shares of the Company’s Common Stock at a public offering price of $4.00 per share for gross proceeds, before deducting underwriting discounts and other related expenses, of $5.9 million. Underwriting discounts and other related expenses totaled $1.1 million and were recorded as offering costs during the six months ended June 30, 2025, for total net proceeds of $4.8 million. Payment of those offering costs was made directly from the proceeds of the offering. No such amounts were recorded during the three months ended June 30, 2025.</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March 6, 2025, the Company’s shares began trading on Nasdaq under the symbol “TBH” and on March 7, 2025, the Company filed its prospectus with the SEC and completed its IPO.</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10, 2025, Kingswood, as representative of the underwriters, exercised in full its option to purchase an additional 221,250 shares of the Company’s common stock to cover over-allotments at a public offering price of $4.00 per share for gross proceeds from the over-allotment exercise of $885,000. Underwriting discounts and other related expenses totaled $95,800, and are recorded as offering costs during the six months ended June 30, 2025 for total net proceeds of $789,200. Payment of those offering costs was made directly from the proceeds of the offering. No such amounts were recorded during the three months ended June 30, 2025. Please refer to Note 1 for further detail.</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Offering costs represent legal, accounting and other direct costs related to the IPO, which closed on March 7, 2025. Prior to the close of the IPO, these costs were recognized as deferred offering costs. These direct offering costs were reclassified to additional paid-in capital from deferred offering costs. The Company recorded $0 and $1,219,176 of deferred offering costs in the accompanying condensed consolidated balance sheets as of June 30, 2025 and December 31, 2024, respectively. During the six months ended June 30, 2025 and 2024, the Company incurred a total of $131,922 and $270,113, respectively, in additional deferred offering costs in connection with the offering of equity securities. During the three months ended June 30, 2025 and 2024, the Company incurred a total of $0 and $148,834, respectively, in additional deferred offering costs in connection with the offering of equity securities. As of June 30, 2025, a total of $1,351,098 was reclassified from deferred offering costs to offering costs. Of this amount, $1,236,0989 is recorded as offering costs and the remaining $115,000 was paid directly from the IPO proceeds and included in the offering costs which are netted against the IPO proceeds on the condensed consolidated statements of changes in stockholders’ equity (deficit).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Incentive Award Plan</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June 11, 2024, the Company’s Board of Directors adopted the 2024 Omnibus Incentive Plan (“Stock Incentive Plan”), which was approved by its stockholders on June 13, 2024. On December 31, 2024 the Company’s Board of Directors adopted the Stock Incentive Plan, which was approved by the Company’s stockholders on January 30, 2025. The Stock Incentive Plan became effective on February 13, 2025. The Stock Incentive Plan will provide for the grant of incentive stock options, within the meaning of Section 422 of the Internal Revenue Code (“Code”) to the Company’s employees, and for the grant of stock options (including incentive stock options (“ISOs”) and non-qualified stock options (“NSOs”), SARs, restricted stock, restricted stock units (“RSUs”), and other stock-based and cash-based incentive awards, and other stock-based performance awards to the Company’s employees, directors, and consultants (collectively, “Awards”).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total of 2,250,000 shares of common stock will be reserved for issuance pursuant to the Stock Incentive Plan (“Plan Share Reserve”). The Plan Share Reserve shall be increased on the first day of each fiscal year beginning with the 2025 fiscal year, in an amount equal to the lesser of (i) ten percent (10.0%) of the outstanding shares of common stock on the last day of the immediately preceding fiscal year and (ii) an amount determined by the Board of Directors.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Shares with respect to which options or SARs are not exercised prior to termination of the option or SAR, shares that are subject to restricted stock units which expire without converting to Common Stock, and shares of restricted stock which are forfeited before the restrictions lapse, shall be available for grants of new Awards under the Stock Incentive Plan. Notwithstanding the foregoing, neither (i) shares accepted by the Company in payment of the exercise price of any option, if permitted under the terms of such option, nor (ii) any shares withheld from a participant, or delivered to the Company in satisfaction of required withholding taxes arising from Awards, nor (iii) the difference between the total number of shares with respect to SAR, shall be available for reissuance under the Stock Incentive Plan.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5 — STOCKHOLDERS’ EQUITY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Awards granted under the Stock Incentive Plan upon the assumption of, or in substitution for, awards authorized or outstanding under a qualifying equity plan maintained by an entity directly or indirectly acquired by the Company will not reduce the shares available for grant under the Stock Incentive Plan. However, any such shares issued in connection with the assumption of, or in substitution for, outstanding options intended to qualify as incentive stock options shall be counted against the aggregate number of shares of Common Stock available for Awards of incentive stock options under the Plan. Subject to applicable stock exchange requirements, available shares under a stockholder-approved plan of an entity directly or indirectly acquired by the Company may be used for Awards under the Stock Incentive Plan and shall not reduce the number of shares of Common Stock available for issuance under the Stock Incentive Plan.</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Compensation Committee of the Company’s Board of Directors will administer the Stock Incentive Plan (the “Administrator”). Each Award will be set forth in a separate agreement and will indicate the type and terms and conditions of the Award. Compensation for grants of awards will be determined in accordance with the Company’s stock-based compensation policy.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June of 2025, the Company issued stock options to Executives, an employee and a contractor of the Company with options reserved in the Stock Incentive Plan to purchase a total of 1,052,888 shares of Common Stock. Please refer to the Stock Options section below.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Underwriter Warrants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underwriting agreement, the Company issued to the underwriters on the closing date of the IPO (the “Closing Date”), warrants (the “Underwriter Warrants”) to purchase an aggregate of 44,250 shares of the Company’s common stock, representing 3% of the shares issued on the Closing Date. The Underwriter Warrants will be exercisable, in whole or in part, commencing on September 3, 2025, and expiring on September 9, 2029, at an initial exercise price per share of common stock of $4.00, which is equal to 100% of the Offering price. No warrants have been exercised as of June 30, 2025.</w:t>
      </w:r>
    </w:p>
    <w:p>
      <w:pPr>
        <w:spacing w:after="0" w:line="181"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The Underwriter Warrants are classified as equity instruments in accordance with ASC 815-40, “</w:t>
      </w:r>
      <w:r>
        <w:rPr>
          <w:rFonts w:ascii="Times New Roman" w:cs="Times New Roman" w:eastAsia="Times New Roman" w:hAnsi="Times New Roman"/>
          <w:sz w:val="18"/>
          <w:szCs w:val="18"/>
          <w:i w:val="1"/>
          <w:iCs w:val="1"/>
          <w:color w:val="auto"/>
        </w:rPr>
        <w:t>Derivatives and Hedging – Contracts in Entity’s Own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Equity”</w:t>
      </w:r>
      <w:r>
        <w:rPr>
          <w:rFonts w:ascii="Times New Roman" w:cs="Times New Roman" w:eastAsia="Times New Roman" w:hAnsi="Times New Roman"/>
          <w:sz w:val="18"/>
          <w:szCs w:val="18"/>
          <w:color w:val="auto"/>
        </w:rPr>
        <w:t>. The warrants are considered indexed to the Company’s own stock and meet the equity classification criteria under GAAP.</w:t>
      </w:r>
    </w:p>
    <w:p>
      <w:pPr>
        <w:spacing w:after="0" w:line="16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fair value of the underwriter warrants was estimated using the Black-Scholes option pricing model, a Level 3 measurement, with the following assumptions:</w:t>
      </w:r>
    </w:p>
    <w:p>
      <w:pPr>
        <w:spacing w:after="0" w:line="16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Fair Market Value:</w:t>
            </w:r>
          </w:p>
        </w:tc>
        <w:tc>
          <w:tcPr>
            <w:tcW w:w="12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$4.30</w:t>
            </w:r>
          </w:p>
        </w:tc>
      </w:tr>
      <w:tr>
        <w:trPr>
          <w:trHeight w:val="432"/>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Risk-free interest rate:</w:t>
            </w:r>
          </w:p>
        </w:tc>
        <w:tc>
          <w:tcPr>
            <w:tcW w:w="12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4.00%</w:t>
            </w:r>
          </w:p>
        </w:tc>
      </w:tr>
      <w:tr>
        <w:trPr>
          <w:trHeight w:val="432"/>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Expected term:</w:t>
            </w:r>
          </w:p>
        </w:tc>
        <w:tc>
          <w:tcPr>
            <w:tcW w:w="126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98"/>
              </w:rPr>
              <w:t>4.5 years</w:t>
            </w:r>
          </w:p>
        </w:tc>
      </w:tr>
      <w:tr>
        <w:trPr>
          <w:trHeight w:val="432"/>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Expected volatility:</w:t>
            </w:r>
          </w:p>
        </w:tc>
        <w:tc>
          <w:tcPr>
            <w:tcW w:w="12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87.00%</w:t>
            </w:r>
          </w:p>
        </w:tc>
      </w:tr>
      <w:tr>
        <w:trPr>
          <w:trHeight w:val="432"/>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Dividend yield:</w:t>
            </w:r>
          </w:p>
        </w:tc>
        <w:tc>
          <w:tcPr>
            <w:tcW w:w="12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0%</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estimated fair value of the Underwriter Warrants on the grant date was approximately $2.96 per share for a total value of $130,980 which was accounted for as a cost of issuing equity, in offering costs. Accordingly, it has been recorded as a reduction to the additional paid-in capital in the statement of stockholders’ equity (deficit), in accordance with SEC Staff Accounting Bulletin Topic 5.A.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have liability classified warrants.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5 — STOCKHOLDERS’ EQUITY </w:t>
      </w:r>
      <w:r>
        <w:rPr>
          <w:rFonts w:ascii="Times New Roman" w:cs="Times New Roman" w:eastAsia="Times New Roman" w:hAnsi="Times New Roman"/>
          <w:sz w:val="18"/>
          <w:szCs w:val="18"/>
          <w:color w:val="auto"/>
        </w:rPr>
        <w:t>(cont.)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June of 2025, the Company issued stock options (“Options”) to Executives, an employee and a contractor of the Company to purchase a total of 1,052,888 shares of Common Stock. Vesting terms extend from three to four years, with some of the Options vesting immediately. As of June 30 2025, 436,833 Options had vested. The Options carry strike prices ranging from $0.576 to $0.839.</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Options are classified as equity instruments and accounted for in accordance with ASC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the Options was estimated using the Black-Scholes option pricing model, a Level 3 measurement, with the following assumptions:</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Fair Market Value:</w:t>
            </w:r>
          </w:p>
        </w:tc>
        <w:tc>
          <w:tcPr>
            <w:tcW w:w="16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$0.57 - $0.84</w:t>
            </w:r>
          </w:p>
        </w:tc>
      </w:tr>
      <w:tr>
        <w:trPr>
          <w:trHeight w:val="432"/>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Risk-free interest rate:</w:t>
            </w:r>
          </w:p>
        </w:tc>
        <w:tc>
          <w:tcPr>
            <w:tcW w:w="168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98"/>
              </w:rPr>
              <w:t>3.75% - 3.94%</w:t>
            </w:r>
          </w:p>
        </w:tc>
      </w:tr>
      <w:tr>
        <w:trPr>
          <w:trHeight w:val="432"/>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Expected term:</w:t>
            </w:r>
          </w:p>
        </w:tc>
        <w:tc>
          <w:tcPr>
            <w:tcW w:w="16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2 - 3 years</w:t>
            </w:r>
          </w:p>
        </w:tc>
      </w:tr>
      <w:tr>
        <w:trPr>
          <w:trHeight w:val="432"/>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Expected volatility:</w:t>
            </w:r>
          </w:p>
        </w:tc>
        <w:tc>
          <w:tcPr>
            <w:tcW w:w="16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374%</w:t>
            </w:r>
          </w:p>
        </w:tc>
      </w:tr>
      <w:tr>
        <w:trPr>
          <w:trHeight w:val="432"/>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Dividend yield:</w:t>
            </w:r>
          </w:p>
        </w:tc>
        <w:tc>
          <w:tcPr>
            <w:tcW w:w="16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0%</w:t>
            </w: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estimated fair values of the Options on the grant dates were within a range of $0.57 and $0.84 per share for a total value of $685,428. The Company recognized stock-based compensation of $264,328 for the vested Options for employees, which was classified as stock-based compensation for the six and three months ended June 30, 2025. The Company recognized stock-based compensation of $6,243 for the vested Options for non-employees in connection with legal and professional expenses for the six and three months ended June 30, 2025.</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is an analysis of BHHI stock options issued as compensation:</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3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Nonvested</w:t>
            </w:r>
          </w:p>
        </w:tc>
        <w:tc>
          <w:tcPr>
            <w:tcW w:w="12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Average Fair</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3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Pr>
          <w:p>
            <w:pPr>
              <w:spacing w:after="0"/>
              <w:rPr>
                <w:sz w:val="21"/>
                <w:szCs w:val="21"/>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shares, December 31, 2024</w:t>
            </w:r>
          </w:p>
        </w:tc>
        <w:tc>
          <w:tcPr>
            <w:tcW w:w="112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shares, March 31, 2025</w:t>
            </w:r>
          </w:p>
        </w:tc>
        <w:tc>
          <w:tcPr>
            <w:tcW w:w="112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1,052,888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0.65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(436,833)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0.62</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shares, June 30, 2025</w:t>
            </w: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0.68</w:t>
            </w: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616,055</w:t>
            </w:r>
          </w:p>
        </w:tc>
        <w:tc>
          <w:tcPr>
            <w:tcW w:w="140" w:type="dxa"/>
            <w:vAlign w:val="bottom"/>
            <w:vMerge w:val="continue"/>
            <w:shd w:val="clear" w:color="auto" w:fill="CCEEFF"/>
          </w:tcPr>
          <w:p>
            <w:pPr>
              <w:spacing w:after="0"/>
              <w:rPr>
                <w:sz w:val="21"/>
                <w:szCs w:val="21"/>
                <w:color w:val="auto"/>
              </w:rPr>
            </w:pPr>
          </w:p>
        </w:tc>
        <w:tc>
          <w:tcPr>
            <w:tcW w:w="108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Issuances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March of 2024, the Company sold 29,094 shares of BHHI Common Stock for total proceeds of $100,000. These were issued during May of 2024 and, therefore, issued and outstanding as of June 30, 2024.</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2024, the Company incurred an additional $5,000 in costs connected with the offering of equity securities. Those offering costs were added during the three months ended June 30, 2024. The balance of offering costs was $312,296 at June 30, 2024. This amount was netted against the additional paid in capital balance presented on the condensed consolidated balance sheets.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2024, the Company issued shares payable to vendors and contractors and shares in connection with the issuance of convertible debt securities, which were designated as equity kicker shares, and made up the balance of shares payable in prior periods. A total of 165,005 shares of Common Stock were issued and outstanding with a total value of $451,405. Further, the Company received and retired 208,010 shares of common stock from previous shareholders with a total value of $576.</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13, 2024, the Company entered into a MSA with Artemis to develop software for the Company and provide certain services. Please refer to Note 4. As of June 30, 2025, 312,500 of the shares have been released from the lock-up provisions. The Company has recognized the par value of the shares, equaling $125, as an increase to Common Stock and other assets as of December 31, 2024. On March 7, 2025, the services per the SaaS Agreement and MSA began and the Company began recognizing compensation expenses as services were provided.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947"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5 — STOCKHOLDERS’ EQUITY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six and three months ended June 30, 2025, $312,500 and $187,500 was recognized as capitalized implementation costs, in connection with the software development services in the MSA with Artemis, as the value for the services that were completed as of period end. Amortization of the capitalized implementation costs to software expense has not commenced as of June 30, 2025. A total of $159,091 and $119,319 was also recognized as software expense, in connection with the services and maintenance services in the MSA with Artemis and the SaaS with EVEMeta, as the value for the services that were completed during the six and three months ended June 30, 2025. Please refer to Note 2 and Note 4 for further detail on these technology purchase agreements.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December of 2024, the Company sold 6,250 shares of common stock for total cash proceeds of $25,000 to the Company’s current CFO, Chetan Jindal. The shares of common stock are to be issued immediately after the consummation of the IPO, in accordance with the subscription agreement. These shares were issued in April.</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March of 2025, the Company’s Board of Directors issued their unanimous consent to issue shares in connection with several transactions and the Company issued those shares. The Company authorized and issued 56 shares of common stock owed in January of 2025. The issuance of these shares did not have an impact on the balance in equity.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March of 2025, the Company authorized and issued 82,096 shares of Common Stock due to the conversion of each share of preferred stock to one share of Common Stock as a result of the IPO.</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accordance with the Marketing agreement detailed in Note 4, $200,000 worth of the Company’s Common Stock, priced at the Company’s IPO price of $4.00 per share became due within ten business days of the Listing Date. The Company issued the shares, totaling 50,000 shares, in April of 2025, subsequent to the due date of March 20, 2025.</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April of 2025, the Company also issued 1,875 shares of Common Stock in repayment of accrued interest of $7,500, subsequent to the maturity date of February 15,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Agreements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BHI, and therefore the Company, entered into Restricted Stock Purchase Agreements (“RSPA”) with various employees and advisors. The share exchanges that occurred during 2021 and 2022 have an effect on the number of restricted shares that are vested and unvested as of the end of each respective reporting period.</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2020, BHI also entered into various RSPAs with an employee and two advisers, pursuant to which BHI sold 225,000 shares of restricted common stock in BHI at par value of $0.0001 per share for cash proceeds of $22. The restricted stock vests at varying rates. As of June 30, 2025, the Company has yet to receive proceeds for the restricted common stock issuances, and the $22 is recorded as contra equity on the June 30, 2025 and December 31, 2024 condensed consolidated balance sheets. As of June 30, 2025 and 2024, 61,880 and 58,872 shares of common stock were considered vested, respectively, and the Company recognized stock-based compensation expense of $0 and $7,032 for the restricted shares that vested during the six months ended June 30, 2025 and 2024, respectively. The Company recognized stock-based compensation expense of $0 and $3,517 for the restricted shares that vested during the three months ended June 30, 2025 and 2024, respectively. All shares were fully vested as of December 31, 2024, and no unamortized stock compensation remained.</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10, 2022, the Company issued a restricted stock award to its outside legal counsel for 279,129 shares of common stock. The restricted stock vests 25% immediately and 25% over the next three years at each anniversary. As of June 30, 2025 and 2024, 244,238 and 174,456 shares of common stock were considered vested, and the Company recognized stock-based compensation expense of $85,000 for the restricted shares that vested during each six-month period ended June 30, 2025 and 2024 , respectively. The Company recognized stock-based compensation expense of $42,500 for the restricted shares that vested during each three-month period ended June 30, 2025 and 2024, respectively. As of June 30, 2025, unamortized stock compensation of $85,000 remained.</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is an analysis of BHI and BHHI shares of Common Stock issued as compensation subsequent to the US Reorganization and presented entirely as BHHI Common Stock :</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3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Nonvested</w:t>
            </w:r>
          </w:p>
        </w:tc>
        <w:tc>
          <w:tcPr>
            <w:tcW w:w="12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Average Fair</w:t>
            </w:r>
          </w:p>
        </w:tc>
        <w:tc>
          <w:tcPr>
            <w:tcW w:w="0" w:type="dxa"/>
            <w:vAlign w:val="bottom"/>
          </w:tcPr>
          <w:p>
            <w:pPr>
              <w:spacing w:after="0"/>
              <w:rPr>
                <w:sz w:val="1"/>
                <w:szCs w:val="1"/>
                <w:color w:val="auto"/>
              </w:rPr>
            </w:pPr>
          </w:p>
        </w:tc>
      </w:tr>
      <w:tr>
        <w:trPr>
          <w:trHeight w:val="245"/>
        </w:trPr>
        <w:tc>
          <w:tcPr>
            <w:tcW w:w="4160" w:type="dxa"/>
            <w:vAlign w:val="bottom"/>
          </w:tcPr>
          <w:p>
            <w:pPr>
              <w:spacing w:after="0"/>
              <w:rPr>
                <w:sz w:val="21"/>
                <w:szCs w:val="21"/>
                <w:color w:val="auto"/>
              </w:rPr>
            </w:pPr>
          </w:p>
        </w:tc>
        <w:tc>
          <w:tcPr>
            <w:tcW w:w="4520" w:type="dxa"/>
            <w:vAlign w:val="bottom"/>
          </w:tcPr>
          <w:p>
            <w:pPr>
              <w:spacing w:after="0"/>
              <w:rPr>
                <w:sz w:val="21"/>
                <w:szCs w:val="21"/>
                <w:color w:val="auto"/>
              </w:rPr>
            </w:pPr>
          </w:p>
        </w:tc>
        <w:tc>
          <w:tcPr>
            <w:tcW w:w="13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Pr>
          <w:p>
            <w:pPr>
              <w:spacing w:after="0"/>
              <w:rPr>
                <w:sz w:val="21"/>
                <w:szCs w:val="21"/>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16"/>
        </w:trPr>
        <w:tc>
          <w:tcPr>
            <w:tcW w:w="4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shares, December 31, 2024</w:t>
            </w:r>
          </w:p>
        </w:tc>
        <w:tc>
          <w:tcPr>
            <w:tcW w:w="45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69,782</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45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5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(17,446)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3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45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shares, March 31, 2025</w:t>
            </w:r>
          </w:p>
        </w:tc>
        <w:tc>
          <w:tcPr>
            <w:tcW w:w="45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52,336</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45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5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(17,446)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29"/>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45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shares, June 30, 2025</w:t>
            </w:r>
          </w:p>
        </w:tc>
        <w:tc>
          <w:tcPr>
            <w:tcW w:w="45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line="20" w:lineRule="exact"/>
              <w:rPr>
                <w:sz w:val="1"/>
                <w:szCs w:val="1"/>
                <w:color w:val="auto"/>
              </w:rPr>
            </w:pPr>
          </w:p>
        </w:tc>
      </w:tr>
      <w:tr>
        <w:trPr>
          <w:trHeight w:val="250"/>
        </w:trPr>
        <w:tc>
          <w:tcPr>
            <w:tcW w:w="4160" w:type="dxa"/>
            <w:vAlign w:val="bottom"/>
            <w:vMerge w:val="continue"/>
            <w:shd w:val="clear" w:color="auto" w:fill="CCEEFF"/>
          </w:tcPr>
          <w:p>
            <w:pPr>
              <w:spacing w:after="0"/>
              <w:rPr>
                <w:sz w:val="21"/>
                <w:szCs w:val="21"/>
                <w:color w:val="auto"/>
              </w:rPr>
            </w:pPr>
          </w:p>
        </w:tc>
        <w:tc>
          <w:tcPr>
            <w:tcW w:w="45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34,890</w:t>
            </w:r>
          </w:p>
        </w:tc>
        <w:tc>
          <w:tcPr>
            <w:tcW w:w="140" w:type="dxa"/>
            <w:vAlign w:val="bottom"/>
            <w:vMerge w:val="continue"/>
            <w:shd w:val="clear" w:color="auto" w:fill="CCEEFF"/>
          </w:tcPr>
          <w:p>
            <w:pPr>
              <w:spacing w:after="0"/>
              <w:rPr>
                <w:sz w:val="21"/>
                <w:szCs w:val="21"/>
                <w:color w:val="auto"/>
              </w:rPr>
            </w:pPr>
          </w:p>
        </w:tc>
        <w:tc>
          <w:tcPr>
            <w:tcW w:w="108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4520" w:type="dxa"/>
            <w:vAlign w:val="bottom"/>
            <w:tcBorders>
              <w:top w:val="single" w:sz="8" w:color="CCEEFF"/>
              <w:bottom w:val="single" w:sz="8" w:color="CCEEFF"/>
            </w:tcBorders>
            <w:vMerge w:val="restart"/>
          </w:tcPr>
          <w:p>
            <w:pPr>
              <w:jc w:val="right"/>
              <w:ind w:right="2870"/>
              <w:spacing w:after="0"/>
              <w:rPr>
                <w:sz w:val="20"/>
                <w:szCs w:val="20"/>
                <w:color w:val="auto"/>
              </w:rPr>
            </w:pPr>
            <w:r>
              <w:rPr>
                <w:rFonts w:ascii="Times New Roman" w:cs="Times New Roman" w:eastAsia="Times New Roman" w:hAnsi="Times New Roman"/>
                <w:sz w:val="18"/>
                <w:szCs w:val="18"/>
                <w:color w:val="auto"/>
              </w:rPr>
              <w:t>24</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16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28"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DEBT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Debt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issued convertible debt during 2022 through May of 2024 under its initial round of convertible debt. The balance of convertible debt as of December 31, 2024 was $5,722,511 in outstanding principal and no remaining unamortized debt issuance costs and debt discount. As of December 31, 2024, accrued interest for the notes totaled $888,894.</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2024, the Company issued convertible debt in the form of original issue discount convertible promissory notes. These notes provide investors with a 20% discount on their investment amount. To determine the principal amount of the notes, the investment amount is divided by 0.80, reflecting that 20% original issue discount. Concurrent with the issue and sale of the notes, each holder was entitled to receive a number of shares of the Company’s Common Stock, par value $0.0001 per share equal to: (i) in the case of a holder that is a Lead Investor, the quotient resulting when 20% of the Holder’s purchase price is divided by a price per share equal to the Valuation Cap divided by the Company Capitalization, (ii) In the case of all other holders, the quotient resulting when 5% of the Holder’s purchase price is divided by a price per share equal to the Valuation Cap divided by the Company Capitalization. The purchase price means the product of the principal amount of the note multiplied by 0.80. The Valuation Cap is set at $20,000,000 and the Company Capitalization means the sum of all equity securities (on an as-converted basis) issued and outstanding, assuming exercise or conversion of all outstanding vested and unvested options, warrants and other convertible securities, but excluding the notes and all equity securities reserved and available for future grant under any equity incentive or similar plan of the Company.</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six and three months ended June 30, 2024, the Company extended the maturity date of the debt and incurred an additional $997,253 and $307,889 in principal due to extension fees. During the six and three months ended June 30, 2024, the Company also raised a total of $158,424 and $82,920, respectively, in additional operating capital through the issuance of additional original issue discount convertible promissory notes, all of which carry the same terms as all other issued convertible debt. The issuance of these notes resulted in an additional debt discount totaling $39,606 and $20,730 for a total principal amount of $198,030 and $103,650, respectively. In addition, note holders were entitled to 2,302 and 1,204 shares of common stock and with a share fair market value between $2.42 and $3.46 for a total additional debt discount and share payable of $6,819 and $4,159 during the six and three months ended June 30, 2024, respectively. The Company recorded $46,410 and $41,354 in amortization of debt discount to interest expense on the condensed consolidated statements of operations and comprehensive loss for the six and three months ended June 30, 2024. The Company also incurred an additional $237,296 and $129,563 in accrued interest during the six and three months ended June 30, 2024, respectively.</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completion of the IPO on March 7, 2025, which was deemed a qualifying financing event, the Company converted the total balance due to all holders of the original issue discount convertible promissory notes. The actual date of conversion of the notes was completed on March 6, 2025. The total amount that was converted was $6,611,405, which was the total principal of $5,722,511 and accrued interest of $888,894 as of December 31, 2024. These were converted into a total of 1,912,176 shares of the Company’s common stock. An additional accrual of interest through the date of the IPO, March 7, 2025, was recorded as of March 7, 2025 for $103,101 and this balance is included as a share payable since it was convertible to shares of common stock totaling 29,660 as of the date of IPO. In April of 2025, 29,305 of these shares were issued, representing an increase of $101,867 during the three months ended June 30, 2025, for an updated total converted amount of $6,713,272 for the six months ended June 30, 2025. The remaining 355 shares are pending to be issued and the balance of the accrued interest for the shares that were not yet issued, $1,234, is recorded as a share payable balance until issued.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Notes Payable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June of 2024, the Company received a loan in the amount of $12,198 which will be payable in the foreign currency of Great Britain Pounds. This loan had no maturity date or interest rate assigned to the loan. It was also unsecured and there were no assets pledged on the loan. This loan was revalued at December 31, 2024 and had a principal balance of $12,900. During the six months ended June 30, 2025, a gain on foreign currency exchange was recognized for $424 on the revaluation of the loan. This loan was repaid in March of 2025 as part of a confidential release and final agreement, detailed below.</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6 — DEBT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August and September of 2024, the Company raised $280,000 in short-term loans that are expected to be repaid within a year, although a maturity date is not specified. These loans have a 100% interest fee that is due at the date of repayment and an additional 100% fee in shares of the Company’s Common Stock issued at the current fair market value, which was $1.41 at the dates of the loans. In September of 2024, the Company issued 198,454 shares of Common Stock in full payment of the $280,000 amount that was payable in shares of the Company. In the same period, the Company repaid $25,000 of the short-term loans along with the corresponding $25,000 interest fee. These loans resulted in a total interest expense of $560,000 that was recognized during the year ended December 31, 2024. A total principal balance of $255,000 and accrued interest of $255,000 remained outstanding as of December 31, 2024. The Company repaid $175,000 of the principal amount along with $175,000 of the accrued interest amount as part of a confidential release and final agreement, detailed below. The remaining $80,000 in principal and $80,000 in interest, was repaid in April of 2025, as detailed below, in connection with a loan repayment agreement that was entered into with a shareholder of the Company on April 2, 2025.</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of 2024, the Company raised $30,000 from a short-term loan which carried a 100% interest fee. In addition, the Company requested from the underwriter that they unlock 24,500 shares of common stock currently owned by the lender to be available as freely floating, publicly tradable shares. A total principal balance of $30,000 and accrued interest of $30,000 remained outstanding as of December 31, 2024. The noteholder agreed to be repaid a total of $29,223 for the principal amount and $29,223 for the accrued interest on the loan. This resulted in a gain on debt extinguishment of $1,554. The final payment was made on April 1, 2025.</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entered into a loan agreement with one of its shareholders on February 5, 2025 for an amount totaling $9,314 and agreed to pay an interest fee of 200% of the principal loan and an additional 100% in common stock once the Company became a public company. In addition, this shareholder made an additional loan of $6,186 to the Company on February 10, 2025. The additional loan was not subject to a loan agreement and did not carry any written terms. The Company became a public company on March 6, 2025. On April 2, 2025, the shareholder and the Company agreed on repayment terms for those two loans and a pre-existing loan from August of 2024 (see above) that was owed to this shareholder together with all accrued interest. The total repayment was $206,617 and it included $95,500 in principal and $111,117 in interest. The total principal amount includes the $15,500 loans from February 2025 and the remaining $80,000 in principal and $80,000 in interest from a loan which was made to the Company during August of 2024. The final payment was made in April of 2025.</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Confidential Release and Final Agreement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January through March of 2025, the Company borrowed money from shareholders of the Company to pay for expenses in connection with the IPO. Total proceeds of $86,150 were received by the Company and these borrowed funds did not have a loan agreement or loan terms. These shareholders also had notes payable made to the Company during 2024, which are part of the notes payable disclosed in Note 6 totaling $187,900 in principal as of December 31, 2024.</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of 2025, the Company entered into a confidential release and final agreement to settle all loan amounts and interest payable to these shareholders with a total payment of $650,000. The agreement also supersedes all prior loan agreements and settles any future claims for any reason and no longer requires the payment of any shares of equity. The total loans that were paid had a principal amount of $273,626 and accrued interest of $175,000. The Company recognized an additional $201,374 in interest expense. Payment of the settlement amount was made on March 31, 2025.</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6 — DEBT </w:t>
      </w:r>
      <w:r>
        <w:rPr>
          <w:rFonts w:ascii="Times New Roman" w:cs="Times New Roman" w:eastAsia="Times New Roman" w:hAnsi="Times New Roman"/>
          <w:sz w:val="18"/>
          <w:szCs w:val="18"/>
          <w:color w:val="auto"/>
        </w:rPr>
        <w:t>(cont.)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Debt - December 2024</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December of 2024, the Company raised $25,000 from a short-term convertible promissory note which is unrelated to the previously issued convertible debt through May of 2024 and carries different terms. This note has a 30% original issue discount that constitutes the interest due on the loan and was added to the principal balance, a payment in equity kicker shares of the Company’s common stock having a combined value equaling 30% of the principal amount and a maturity date of February 15, 2025. The number of the shares subject to the equity kicker were calculated based on the Company’s anticipated price per share at the IPO, which was at $4. The original issue discount and the equity kicker shares had values of $7,500 each for a total discount on debt of $15,000. During 2024, the Company recognized $4,219 in amortization of debt discount on the condensed consolidated statements of operations and comprehensive loss. The issuance of this loan resulted in an additional 1,875 shares of common stock becoming due and were not issued as of December 31, 2024. As such, it resulted in an increase of $7,500 to the shares payable balance during the year ended December 31, 2024. A total principal balance of $32,500 and unamortized debt discount of $10,781 was outstanding as of December 31, 2024. The Company amortized the remaining debt discount amount of $10,781 to interest expense during the six months ended June 30, 2025. No amortization was recorded during the three months ended June 30, 2025.</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Loan repayment options included the proceeds of the Company’s IPO, which occurred on March 6, 2025 and was the earliest of all other options. The lender had the option to convert the debt into shares of the Company’s common stock but, instead, the repayment of the loan principal of $25,000 and accrued interest of $7,500 was completed in March of 2025. The 1,875 shares were issued in April of 2025, subsequent to the maturity date of February 15, 2025, and were no longer included in the shares payable balance as of June 30, 2025.</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March of 2025, the Company raised an additional $150,000 from two short-term promissory notes which have a 30% original issue discount that constitutes the interest due on the loan and was added to the principal balance, a payment in equity kicker shares of the Company’s common stock having a combined value equaling 30% of the principal amount and a maturity date of April 10, 2025. The number of the shares subject to the equity kicker were calculated based on the Company’s anticipated price per share at the IPO, which was at $4. The original issue discount and the equity kicker shares had values of $45,000 each for a total discount on debt of $90,000. The issuance of this loan resulted in an additional 11,250 shares of common stock becoming due. As such, it resulted in an increase of $45,000 to the shares payable balance during 2025. The Company repaid the total loan principal of $150,000 and accrued interest of $45,000 in March of 2025. The shares in connection with the share payable amount of $45,000 were issued in April of 2025 and were no longer included in the shares payable balance as of June 30, 2025. The Company amortized the $90,000 debt discount amount to interest expense during the six months ended June 30, 2025.</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REVENUE RECOGNITION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recognizes revenue from the sale of products and services in accordance with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generates revenues from advertising, sponsorship and league tournaments, and through the operation of its live streaming platform using a revenue model whereby gamers and creators can get free access to certain live streaming of amateur tournaments, and gamers and creators pay fees or subscriptions to compete in league competitions. The Company enters into contracts which may include combinations of products, support and professional services, which may be accounted for as separate performance obligations with differing revenue recognition patterns.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the end of June 30, 2025 and December 31, 2024, the Company did not have any contract assets or liabilities arising from contracts with customers. This was due to the fact that all service agreements for tournaments were entered into and completed in the same period.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Obligations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earns the majority of its revenue from hosting esports tournaments. The main performance obligation has been organizing and executing these tournaments. There are many different deliverables that are noted or implied in these contracts with customers including but not limited to, planning the event, identifying vendors and locations, completing administrative tasks, managing the event staff, coordinating the tournaments, and executing sponsorship advertisement. Contracts vary in length and extent of deliverables. Some tournaments are single events, while others require the Company to have qualifiers leading up to a championship event. In the case of contracts for longer tournament deliverables, the Company has identified each qualifier and each championship event as performance obligations. For single event contracts, the performance obligation is the execution of the event. These performance obligations are met once the tournaments are hosted and completed.</w:t>
      </w:r>
    </w:p>
    <w:p>
      <w:pPr>
        <w:spacing w:after="0" w:line="18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In the case of revenue earned from the Twitch Affiliate Program, the Company’s performance obligations is to create content and maintain a channel to which (i) customers can subscribe, (ii) ads can be played to viewers by Twitch to generate revenue and (iii) customers can use bits. These performance obligations are monitored by Twitch and the Company receives the revenue from those obligations. On a monthly basis, the Company receives from Twitch its respective portion of the revenue generated by its content. This source of revenue is insignificant and not a main source of income for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Judgments and Estimates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contracts include commitments to transfer tournament hosting and a gaming community platform service that customers can subscribe to. Judgment is required to allocate the transaction price to each performance obligation. The Company has carefully evaluated the timing of when the completion of performance obligations occurs for tournament hosting revenue and has determined that it occurs at the point in time in which the event has been completed. For single event tournaments, the Company determines the transaction price to be the contracted amount and allocates that price to the single performance obligation. In the case of tournaments with multiple events and performance obligations, the Company evaluates the magnitude of the performance obligations to make an estimate of the allocation of the transaction price (total contract amount) to the multiple performance obligations. It is the Company’s judgment that the transaction price for multiple event tournaments is allocated evenly throughout each of the total qualifier and championship match events. The reasoning is because at each event, there is no distinguishable difference in the amount of advertising and/or other obligations that are performed and thus, service that is provided for the customer.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7 — REVENUE RECOGNITION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case of subscription revenue, which is recognized over time, the Company has determined that the revenue is earned ratably over the period of the subscription. Revenue is recognized evenly over the subscription period because there is no discernable difference in the amount of service that is provided in each of the days within the subscription period.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Costs to Obtain or Fulfill a Contract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revenue recognition standard requires the capitalization of certain incremental costs of obtaining a contract. These typically are represented by commission expenses. Prior to the Company’s adoption of the new revenue standard, commission expenses would be recognized in the period incurred. Under the revenue recognition standard, the Company is required to recognize these expenses over the period of benefit associated with these costs. This results in a deferral of certain commission expenses each period. There were no deferred commissions related to contracts that were or were not completed prior to June 30, 2025 and December 31, 2024. The Company recognizes an asset for the incremental costs of obtaining a contract with a customer if the benefit of those costs is expected to be longer than one year.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SEGMENT REPORTING</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and its subsidiaries manage its business activities on a consolidated basis and operate as a single operating segment (the “gaming” segment). The Company is a vertically integrated social network for college gaming and its mission is to create a community which empowers gamers, streamers, and fans to interact with one another. The Company’s platform, which focuses on building a centralized gaming experience for non-professional college gamers and their fans, achieves this by allowing college students to compete against one another, support their favorite gamers and teams, and win prizes. The accounting policies of the gaming segment are the same as those described in Note 2 – Summary of Significant Accounting Policies of our Annual Report on Form 10-K for the year ended December 31, 2024.</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CODM is our Chief Executive Officer, Lavell Juan Malloy, II. The CODM uses net loss, as reported on our condensed consolidated statements of operations and comprehensive loss, in evaluating performance of the gaming segment and determining how to allocate resources of the Company as a whole. The CODM does not review assets in evaluating the results of the gaming segment, and therefore, such information is not presented.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operating financial results of our gaming segment: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gridSpan w:val="5"/>
          </w:tcPr>
          <w:p>
            <w:pPr>
              <w:jc w:val="right"/>
              <w:ind w:right="681"/>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220" w:type="dxa"/>
            <w:vAlign w:val="bottom"/>
          </w:tcPr>
          <w:p>
            <w:pPr>
              <w:spacing w:after="0"/>
              <w:rPr>
                <w:sz w:val="18"/>
                <w:szCs w:val="18"/>
                <w:color w:val="auto"/>
              </w:rPr>
            </w:pPr>
          </w:p>
        </w:tc>
        <w:tc>
          <w:tcPr>
            <w:tcW w:w="2320" w:type="dxa"/>
            <w:vAlign w:val="bottom"/>
            <w:gridSpan w:val="5"/>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45"/>
        </w:trPr>
        <w:tc>
          <w:tcPr>
            <w:tcW w:w="47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780" w:type="dxa"/>
            <w:vAlign w:val="bottom"/>
            <w:tcBorders>
              <w:bottom w:val="single" w:sz="8" w:color="CCEEFF"/>
            </w:tcBorders>
          </w:tcPr>
          <w:p>
            <w:pPr>
              <w:spacing w:after="0"/>
              <w:rPr>
                <w:sz w:val="20"/>
                <w:szCs w:val="20"/>
                <w:color w:val="auto"/>
              </w:rPr>
            </w:pPr>
          </w:p>
        </w:tc>
        <w:tc>
          <w:tcPr>
            <w:tcW w:w="12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Less: Significant and Other Segment Expenses</w:t>
            </w: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Sales</w:t>
            </w: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464</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Advertising and Marketing</w:t>
            </w: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293,756</w:t>
            </w:r>
          </w:p>
        </w:tc>
        <w:tc>
          <w:tcPr>
            <w:tcW w:w="26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212,306</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Legal and Professional</w:t>
            </w: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468,769</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261,752</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330,445</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209,294</w:t>
            </w:r>
          </w:p>
        </w:tc>
        <w:tc>
          <w:tcPr>
            <w:tcW w:w="0" w:type="dxa"/>
            <w:vAlign w:val="bottom"/>
          </w:tcPr>
          <w:p>
            <w:pPr>
              <w:spacing w:after="0"/>
              <w:rPr>
                <w:sz w:val="1"/>
                <w:szCs w:val="1"/>
                <w:color w:val="auto"/>
              </w:rPr>
            </w:pPr>
          </w:p>
        </w:tc>
      </w:tr>
      <w:tr>
        <w:trPr>
          <w:trHeight w:val="216"/>
        </w:trPr>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881,611</w:t>
            </w:r>
          </w:p>
        </w:tc>
        <w:tc>
          <w:tcPr>
            <w:tcW w:w="26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273,795</w:t>
            </w:r>
          </w:p>
        </w:tc>
        <w:tc>
          <w:tcPr>
            <w:tcW w:w="22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624,452</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151,350</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Software Expense</w:t>
            </w: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225,335</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160,684</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Software Development</w:t>
            </w: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1,163</w:t>
            </w:r>
          </w:p>
        </w:tc>
        <w:tc>
          <w:tcPr>
            <w:tcW w:w="26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12,838</w:t>
            </w:r>
          </w:p>
        </w:tc>
        <w:tc>
          <w:tcPr>
            <w:tcW w:w="22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777</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1,952</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355,571</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92,032</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313,071</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46,016</w:t>
            </w:r>
          </w:p>
        </w:tc>
        <w:tc>
          <w:tcPr>
            <w:tcW w:w="0" w:type="dxa"/>
            <w:vAlign w:val="bottom"/>
          </w:tcPr>
          <w:p>
            <w:pPr>
              <w:spacing w:after="0"/>
              <w:rPr>
                <w:sz w:val="1"/>
                <w:szCs w:val="1"/>
                <w:color w:val="auto"/>
              </w:rPr>
            </w:pPr>
          </w:p>
        </w:tc>
      </w:tr>
      <w:tr>
        <w:trPr>
          <w:trHeight w:val="216"/>
        </w:trPr>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and Amortization of Debt Discount</w:t>
            </w: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438,709</w:t>
            </w:r>
          </w:p>
        </w:tc>
        <w:tc>
          <w:tcPr>
            <w:tcW w:w="26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1,280,974</w:t>
            </w:r>
          </w:p>
        </w:tc>
        <w:tc>
          <w:tcPr>
            <w:tcW w:w="22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478,822</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(71,310)</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(828)</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(69,709)</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0" w:type="dxa"/>
            <w:vAlign w:val="bottom"/>
          </w:tcPr>
          <w:p>
            <w:pPr>
              <w:spacing w:after="0"/>
              <w:rPr>
                <w:sz w:val="1"/>
                <w:szCs w:val="1"/>
                <w:color w:val="auto"/>
              </w:rPr>
            </w:pPr>
          </w:p>
        </w:tc>
      </w:tr>
      <w:tr>
        <w:trPr>
          <w:trHeight w:val="216"/>
        </w:trPr>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Expenses</w:t>
            </w: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46,406</w:t>
            </w:r>
          </w:p>
        </w:tc>
        <w:tc>
          <w:tcPr>
            <w:tcW w:w="26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 - Stock-Based Compensation Liability</w:t>
            </w: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133,331</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133,331</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Loss</w:t>
            </w: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(451)</w:t>
            </w:r>
          </w:p>
        </w:tc>
        <w:tc>
          <w:tcPr>
            <w:tcW w:w="26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152</w:t>
            </w:r>
          </w:p>
        </w:tc>
        <w:tc>
          <w:tcPr>
            <w:tcW w:w="22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(140)</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70,000</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70,000</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b w:val="1"/>
                <w:bCs w:val="1"/>
                <w:color w:val="auto"/>
              </w:rPr>
              <w:t>Segment Net Loss</w:t>
            </w:r>
          </w:p>
        </w:tc>
        <w:tc>
          <w:tcPr>
            <w:tcW w:w="1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vMerge w:val="restart"/>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4780" w:type="dxa"/>
            <w:vAlign w:val="bottom"/>
            <w:vMerge w:val="continue"/>
          </w:tcPr>
          <w:p>
            <w:pPr>
              <w:spacing w:after="0"/>
              <w:rPr>
                <w:sz w:val="20"/>
                <w:szCs w:val="20"/>
                <w:color w:val="auto"/>
              </w:rPr>
            </w:pPr>
          </w:p>
        </w:tc>
        <w:tc>
          <w:tcPr>
            <w:tcW w:w="142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(2,772,890</w:t>
            </w:r>
          </w:p>
        </w:tc>
        <w:tc>
          <w:tcPr>
            <w:tcW w:w="260" w:type="dxa"/>
            <w:vAlign w:val="bottom"/>
            <w:vMerge w:val="continue"/>
          </w:tcPr>
          <w:p>
            <w:pPr>
              <w:spacing w:after="0"/>
              <w:rPr>
                <w:sz w:val="20"/>
                <w:szCs w:val="20"/>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(1,991,124</w:t>
            </w:r>
          </w:p>
        </w:tc>
        <w:tc>
          <w:tcPr>
            <w:tcW w:w="220" w:type="dxa"/>
            <w:vAlign w:val="bottom"/>
            <w:vMerge w:val="continue"/>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(1,705,217</w:t>
            </w:r>
          </w:p>
        </w:tc>
        <w:tc>
          <w:tcPr>
            <w:tcW w:w="220" w:type="dxa"/>
            <w:vAlign w:val="bottom"/>
            <w:vMerge w:val="continue"/>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(956,963</w:t>
            </w:r>
          </w:p>
        </w:tc>
        <w:tc>
          <w:tcPr>
            <w:tcW w:w="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20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7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FAIR VALUE MEASUREMENTS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accordance with ASC 820, “Fair Value Measurements and Disclosures”, the Company uses various inputs to measure the fair value of its stock-based compensation liability resulting from the cash-settled written put options related to the MSA with Artemis and the SaaS with EVEMeta on a recurring basis to determine the fair value of these liabilities. The Company determines the fair value of the stock-based compensation liability using a Monte Carlo simulation.</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Further, as of May 12, 2025, the Company completed a fair value measurement for the cash settlement provision of its agreements with Artemis and EVEMeta, the liability classified award, using a Monte Carlo simulation model as a result of the amendment of the agreements and determined a total fair value measurement of $2,942,136. The Company recognized a stock-based compensation liability from the total fair value only to the extent in which services were provided to the Company through the amendment date, which resulted in partial recognition and was an estimate by the Company as of period end. This resulted in the recognition of a stock-based compensation liability of $116,669 as of May 12, 2025, of which $72,277 was recognized as an increase during the period April 1, 2025 to May 12, 2025 to the existing stock-based compensation liability of $44,392 as of March 31, 2025. Of the total of $72,277, $41,331 was capitalized to capitalized implementation costs and $30,946 was expensed as a software expense. These amounts did not have an impact on the balance of the Company’s stockholders’ equity. Lastly, as a result of the amendment, the stock-based compensation liability was settled and no longer exists as of June 30, 2025. Please refer to Note 2 for further details on the modification and settlement of the stock-based compensation liability.</w:t>
      </w:r>
    </w:p>
    <w:p>
      <w:pPr>
        <w:spacing w:after="0" w:line="1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changes in Level 3 liabilities measured at fair value for the six months ended June 30, 2025. Both observable and unobservable inputs were used to determine the fair value of positions that the Company has classified within the Level 3 category.</w:t>
      </w:r>
    </w:p>
    <w:p>
      <w:pPr>
        <w:sectPr>
          <w:pgSz w:w="11900" w:h="16838" w:orient="portrait"/>
          <w:cols w:equalWidth="0" w:num="1">
            <w:col w:w="11240"/>
          </w:cols>
          <w:pgMar w:left="320" w:top="8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fair value - Capitalized Implementation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25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Change in fair value - Software Expense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as of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fair value - Capitalized Implementation Costs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fair value - Software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Settlement of Stock-Based Compensation Liability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as of June 30, 2025</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Stock-Based</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Compensation</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Liability</w:t>
      </w:r>
    </w:p>
    <w:p>
      <w:pPr>
        <w:spacing w:after="0" w:line="14" w:lineRule="exact"/>
        <w:rPr>
          <w:sz w:val="20"/>
          <w:szCs w:val="20"/>
          <w:color w:val="auto"/>
        </w:rPr>
      </w:pPr>
    </w:p>
    <w:p>
      <w:pPr>
        <w:ind w:left="1060" w:hanging="1055"/>
        <w:spacing w:after="0"/>
        <w:tabs>
          <w:tab w:leader="none" w:pos="10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p>
    <w:p>
      <w:pPr>
        <w:spacing w:after="0" w:line="31" w:lineRule="exact"/>
        <w:rPr>
          <w:rFonts w:ascii="Times New Roman" w:cs="Times New Roman" w:eastAsia="Times New Roman" w:hAnsi="Times New Roman"/>
          <w:sz w:val="18"/>
          <w:szCs w:val="18"/>
          <w:b w:val="1"/>
          <w:bCs w:val="1"/>
          <w:color w:val="auto"/>
        </w:rPr>
      </w:pPr>
    </w:p>
    <w:p>
      <w:pPr>
        <w:ind w:left="6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35,340</w:t>
      </w:r>
    </w:p>
    <w:p>
      <w:pPr>
        <w:spacing w:after="0" w:line="9" w:lineRule="exact"/>
        <w:rPr>
          <w:rFonts w:ascii="Times New Roman" w:cs="Times New Roman" w:eastAsia="Times New Roman" w:hAnsi="Times New Roman"/>
          <w:sz w:val="18"/>
          <w:szCs w:val="18"/>
          <w:b w:val="1"/>
          <w:bCs w:val="1"/>
          <w:color w:val="auto"/>
        </w:rPr>
      </w:pPr>
    </w:p>
    <w:p>
      <w:pPr>
        <w:ind w:left="7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9,052</w:t>
      </w:r>
    </w:p>
    <w:p>
      <w:pPr>
        <w:spacing w:after="0" w:line="27" w:lineRule="exact"/>
        <w:rPr>
          <w:sz w:val="20"/>
          <w:szCs w:val="20"/>
          <w:color w:val="auto"/>
        </w:rPr>
      </w:pPr>
    </w:p>
    <w:p>
      <w:pPr>
        <w:ind w:left="620" w:hanging="615"/>
        <w:spacing w:after="0"/>
        <w:tabs>
          <w:tab w:leader="none" w:pos="62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44,392</w:t>
      </w:r>
    </w:p>
    <w:p>
      <w:pPr>
        <w:spacing w:after="0" w:line="31" w:lineRule="exact"/>
        <w:rPr>
          <w:rFonts w:ascii="Times New Roman" w:cs="Times New Roman" w:eastAsia="Times New Roman" w:hAnsi="Times New Roman"/>
          <w:sz w:val="18"/>
          <w:szCs w:val="18"/>
          <w:b w:val="1"/>
          <w:bCs w:val="1"/>
          <w:color w:val="auto"/>
        </w:rPr>
      </w:pPr>
    </w:p>
    <w:p>
      <w:pPr>
        <w:ind w:left="6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41,331</w:t>
      </w:r>
    </w:p>
    <w:p>
      <w:pPr>
        <w:spacing w:after="0" w:line="9" w:lineRule="exact"/>
        <w:rPr>
          <w:rFonts w:ascii="Times New Roman" w:cs="Times New Roman" w:eastAsia="Times New Roman" w:hAnsi="Times New Roman"/>
          <w:sz w:val="18"/>
          <w:szCs w:val="18"/>
          <w:b w:val="1"/>
          <w:bCs w:val="1"/>
          <w:color w:val="auto"/>
        </w:rPr>
      </w:pPr>
    </w:p>
    <w:p>
      <w:pPr>
        <w:ind w:left="6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30,946</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(116,669)</w:t>
      </w:r>
    </w:p>
    <w:p>
      <w:pPr>
        <w:spacing w:after="0" w:line="54" w:lineRule="exact"/>
        <w:rPr>
          <w:sz w:val="20"/>
          <w:szCs w:val="20"/>
          <w:color w:val="auto"/>
        </w:rPr>
      </w:pPr>
    </w:p>
    <w:p>
      <w:pPr>
        <w:ind w:left="1060" w:hanging="1055"/>
        <w:spacing w:after="0"/>
        <w:tabs>
          <w:tab w:leader="none" w:pos="10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0294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2945"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45720</wp:posOffset>
            </wp:positionV>
            <wp:extent cx="70294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00" w:space="720"/>
            <w:col w:w="1220"/>
          </w:cols>
          <w:pgMar w:left="320" w:top="873" w:right="339" w:bottom="1440" w:gutter="0" w:footer="0" w:header="0"/>
          <w:type w:val="continuous"/>
        </w:sectPr>
      </w:pP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60" w:type="dxa"/>
            <w:vAlign w:val="bottom"/>
          </w:tcPr>
          <w:p>
            <w:pPr>
              <w:spacing w:after="0"/>
              <w:rPr>
                <w:sz w:val="20"/>
                <w:szCs w:val="20"/>
                <w:color w:val="auto"/>
              </w:rPr>
            </w:pPr>
            <w:r>
              <w:rPr>
                <w:rFonts w:ascii="Times New Roman" w:cs="Times New Roman" w:eastAsia="Times New Roman" w:hAnsi="Times New Roman"/>
                <w:sz w:val="18"/>
                <w:szCs w:val="18"/>
                <w:color w:val="auto"/>
              </w:rPr>
              <w:t>The key inputs for the Monte Carlo simulation for the stock-based compensation liability as of May 12, 2025 were as follows:</w:t>
            </w:r>
          </w:p>
        </w:tc>
        <w:tc>
          <w:tcPr>
            <w:tcW w:w="5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53"/>
        </w:trPr>
        <w:tc>
          <w:tcPr>
            <w:tcW w:w="9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Stock-Based Compensation Liability: Key Valuation Inputs*</w:t>
            </w:r>
          </w:p>
        </w:tc>
        <w:tc>
          <w:tcPr>
            <w:tcW w:w="50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r>
      <w:tr>
        <w:trPr>
          <w:trHeight w:val="216"/>
        </w:trPr>
        <w:tc>
          <w:tcPr>
            <w:tcW w:w="9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Valuation Date Stock Price</w:t>
            </w:r>
          </w:p>
        </w:tc>
        <w:tc>
          <w:tcPr>
            <w:tcW w:w="5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0.59</w:t>
            </w:r>
          </w:p>
        </w:tc>
      </w:tr>
      <w:tr>
        <w:trPr>
          <w:trHeight w:val="216"/>
        </w:trPr>
        <w:tc>
          <w:tcPr>
            <w:tcW w:w="9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Volatility</w:t>
            </w: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9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Risk-Free Rate</w:t>
            </w: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r>
      <w:tr>
        <w:trPr>
          <w:trHeight w:val="216"/>
        </w:trPr>
        <w:tc>
          <w:tcPr>
            <w:tcW w:w="9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Credit Risk Adjusted Rate</w:t>
            </w: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w:t>
            </w:r>
          </w:p>
        </w:tc>
      </w:tr>
      <w:tr>
        <w:trPr>
          <w:trHeight w:val="216"/>
        </w:trPr>
        <w:tc>
          <w:tcPr>
            <w:tcW w:w="9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Time period (years)</w:t>
            </w: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tab/>
        <w:t>The valuation was based on a Monte Carlo simulation analysis of 100,000 iterations.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SUBSEQUENT EVENTS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evaluated events and transactions subsequent to June 30, 2025 through the date these condensed consolidated financial statements were included on Form 10-Q and filed with the SEC. Other than the matters described below, there are no additional subsequent events identified that would require disclosure in the condensed consolidated financial statements.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July of 2025, the Company issued fully vested stock options to Executives, Directors and an employee and a contractor of the Company to purchase a total of 897,112 shares of Common Stock. These stock options are fully vested as of the grant date and exercisable for the next five years from the date of grant. The options carry a strike price of $1.</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 Awards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July of 2025, the Company granted 300,000 shares of fully vested Common Stock awards in exchange for legal services.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Certificate of Designation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July of 2025, the Company filed a certificate of designation and a subsequent amendment to the certificate of designation with the Secretary of State of the State of Delaware to designate 15,000 shares of the available 24,800,000 shares of Preferred Stock as Series B Preferred Stock. Each share will be convertible into shares of Common Stock at a conversion price of $0.942 and will be convertible at the option of the holder. The Series B Preferred Stock does not have any voting rights.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Private Investment into Public Entity (PIPE)</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24, 2025, the Company entered into an agreement to sell an aggregate of 15,000 units of its Series B Convertible Preferred Stock convertible into 15,923,567 shares of Common Stock, at a conversion price of $0.942 per share of Series B Convertible Stock and an aggregate of 15,923,567 warrants to acquire up to 15,923,567 shares of Common Stock. The purchase price for one unit (consisting of one share of Series B Convertible Preferred Stock convertible into approximately 1,061 shares and the same number of warrants) was $1,000, which resulted in the sale of 15,000 units for total gross proceeds of $15,000,000. Net proceeds after expenses were $13,678,795. The warrants issued in the offering are exercisable immediately upon issuance at an exercise price of $0.817 per share and will expire five years from the date of issuance. The transaction closed on July 30, 2025.</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management’s discussion and analysis is intended as a review of significant factors affecting our financial condition and results of operations for the periods indicated. The discussion should be read in conjunction with our condensed unaudited financial statements and the notes presented herein included in this Form 10-Q and the audited financial statements and the other information set forth in the 2024 Form 10-K. When used, the words “believe,” “plan,” “intend,” “anticipate,” “target,” “estimate,” “expect” and the like, and/or future tense or conditional constructions (“will,” “may,” “could,” “should,” etc.), or similar expressions, identify certain of these forward-looking statements. In addition to historical information, the following Management’s Discussion and Analysis of Financial Condition and Results of Operations contains forward-looking statements that involve risks and uncertainties including, but not limited to, those set forth below under “Risk Factors” and elsewhere herein, and those identified under Part I, Item 1A of our 2024 Form 10-K. Our actual results could differ significantly from those anticipated in these forward-looking statements as a result of certain factors discussed herein and any other periodic reports filed and to be filed with the Securities and Exchange Commission.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Brag House is a mission-driven organization that utilizes a diversified business strategy to operate a vertically integrated platform designed for casual college gamers to drive community-driven gaming experiences anchored in the college sports culture, while creating authentic pathway for brands to connect with our Gen Z audience.</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Brag House is a Delaware corporation formed in December 2021. Our founders developed the idea for the Brag House platform in 2018, when our Chief Executive Officer Lavell Juan Malloy, II and his co-founder, Chief Operating Officer Daniel Leibovich, recognized a need in the gaming industry for an esports platform focused specifically on the casual college gamer, and formed our indirect wholly-owned subsidiary, BHI. At that time, our co-founders believed that a significant amount of industry resources were focused predominantly on competitive and professional gamers, much to the detriment of casual gamers, generally, and casual college gamers, specifically. In the years ensuing, we have maintained our focus on the casual college gaming segment and believe we are developing a first-of-its-kind digital platform for casual college gamers to compete, support their team, banter in a safe environment and win prizes. Our vertically integrated approach combines gamer recruitment, facilitation of community engagement and content creation, live-stream production and tournament host activities.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believe we are creating a new sports medium for Gen Z to engage through gaming by merging gameplay with school spirit in Brag House and student-led activations and tournaments tied to college rivalries with Brag House features and capabilities such as our Bragging Functionality, Loyalty Tokens reward system, and brand-sponsored content and prizes. The growth of our platform since our inception is encouraging, and we believe we are strongly positioned to capitalize on a large portion of the available gaming market. We experienced strong community growth since we launched through June 30, 2025, reaching nearly 1,400,000 video views of our Brag House content on video platforms including X (formerly known as Twitter), TikTok, Meta, Twitch and YouTube, which represent a 148% increase in views year-over-year from 2020 to 2024. We have also generated nearly 8 million impressions and video views since inception, which represents approximately a 57% increase year-over-year from 2020 to 2024. Additionally, since 2022, Brag House spectators who viewed live streams remained on the platform for 19 minutes per stream across over 290,000 live views, which represents nearly a 1.75X increase compared to the industry benchmark of 11 minutes.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focused on creating an organic and inclusive community which facilitates personalized experiences. We believe our experiential framework offers a more authentic and differentiated channel for advertisers to utilize, making the otherwise elusive demographic of gamers and streamers accessible at scale to ourselves and our partners. We do this by offering brand sponsors and advertisers an exclusive marketing channel to reach elusive Gen Z and Millennial gamers and creators, while offering players ways to access exclusive tournaments and programming.</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fiscal year 2024, we remained focused on refining our core technology platform, expanding sponsor relationships, and preparing for our IPO, which closed in March 2025.</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5" w:name="page36"/>
    <w:bookmarkEnd w:id="35"/>
    <w:p>
      <w:pPr>
        <w:jc w:val="both"/>
        <w:spacing w:after="0" w:line="266" w:lineRule="auto"/>
        <w:rPr>
          <w:sz w:val="20"/>
          <w:szCs w:val="20"/>
          <w:color w:val="auto"/>
        </w:rPr>
      </w:pPr>
      <w:r>
        <w:rPr>
          <w:rFonts w:ascii="Times New Roman" w:cs="Times New Roman" w:eastAsia="Times New Roman" w:hAnsi="Times New Roman"/>
          <w:sz w:val="18"/>
          <w:szCs w:val="18"/>
          <w:color w:val="auto"/>
        </w:rPr>
        <w:t>In May 2025, we launched the first activation under our strategic partnership with Learfield, beginning with the University of Florida. This effort includes event planning, brand asset integration, student athlete involvement, and cross-channel marketing. We believe these activations represent a cornerstone of our digital advertising growth strategy.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Post-IPO, we began execution of our development plan with our technology partners, Artemis and EVEMeta. These developments include a focus on building a scalable data insights monetization SaaS model, with a beta version expected in Q1 2026. Once market-ready, we believe this SaaS model will provide a recurring revenue stream by offering anonymized behavioral insights to brand clients seeking better Gen Z engagement.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continue to manage costs associated with our platform and obligations as a public company while investing in revenue-generating infrastructure. We are also exploring cost-efficient marketing methods to optimize awareness while maintaining efficient customer acquisition costs with a focus on high ROI.</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near-term objectives include:</w:t>
      </w:r>
    </w:p>
    <w:p>
      <w:pPr>
        <w:spacing w:after="0" w:line="225"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Scaling Learfield-based activations across additional universities under Learfield’s media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digital activations with rewards through Loyalty Tokens and Bragging Functionality.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Advancing technological development modules to operational beta.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Organization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were formed as a Delaware corporation in December 2021.</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Brag House, Inc. (“BHI”), the Company’s wholly owned indirect subsidiary and the entity through which our operations are primarily conducted, was formed as a Delaware corporation in February 2018.</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11, 2021, Brag House, Ltd. (“BHL”) was registered in the United Kingdom. Their principal offices are located at 7 – 9 Swallow Street, London W1B 4DE, United Kingdom.</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16, 2021, BHL acquired all of the 10,000,000 issued and outstanding BHI shares held by BHI shareholders on a one for 14.07 basis (rounded to the nearest whole number) in exchange for 140,700,000 ordinary shares of £0.0001 in BHL, making BHI a wholly owned subsidiary of BHL (“UK Reorganization”).</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Following the UK Reorganization, the board of directors of BHL determined that it was in the best interests of BHL and its shareholders that an initial public offering in the United States and concurrent listing on The Nasdaq Stock Market (“Nasdaq”) be pursued. To effect that proposed initial public offering and listing on Nasdaq, in December 2021, the Company was formed. On February 8, 2022, the Company approved a reorganization, in which the shareholders of BHL would exchange their ordinary shares and preference shares of BHL for a proportionate number of common and preferred shares in the Company on a 21 to 1 basis (“U.S. Reorganization”). Immediately following the U.S. Reorganization, BHL became the wholly-owned subsidiary of the Company, and BHI became the indirect wholly-owned subsidiary of the Company.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anticipate that BHL will be wound down and dissolved as soon as reasonably practicable.</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effected a 1 for 5.1287 consolidation of our issued and outstanding Common Stock and Preferred Stock on June 14, 2024, (the “Original Reverse Split”). On October 11, 2024, we canceled the Original Reverse Split and filed an amendment to our certificate of incorporation, as amended, with the Secretary of State of the State of Delaware to effect a 1 for 2.43615 consolidation of our issued and outstanding Common Stock and Preferred Stock (the “Reverse Split”). Any future redemption of stock options or warrants for options or warrants that were granted prior to October 11, 2024 will also reflect the Reverse Split. The Company began the process to pay for the Fractional Shares, which total $85.81, to its shareholders that were affected by the Reverse Split. This Quarterly Report gives effect to the cancellation of the Original Reverse Split and the effectiveness of the Reverse Split. Except where otherwise indicated, all share and per share data in this Annual Report have been retroactively restated to reflect the Reverse Split.</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July 25, 2025, the Company filed a certificate of designation with the Secretary of State of the State of Delaware to designate 15,000 shares of the available 25,000,000 shares of Preferred Stock as Series B Preferred Stock.</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Our principal executive offices are located at 45 Park Street, Montclair, NJ 07042 and our telephone number is 413-398-2845. Our website address is </w:t>
      </w:r>
      <w:r>
        <w:rPr>
          <w:rFonts w:ascii="Times New Roman" w:cs="Times New Roman" w:eastAsia="Times New Roman" w:hAnsi="Times New Roman"/>
          <w:sz w:val="18"/>
          <w:szCs w:val="18"/>
          <w:i w:val="1"/>
          <w:iCs w:val="1"/>
          <w:color w:val="auto"/>
        </w:rPr>
        <w:t>www.braghouse.com</w:t>
      </w:r>
      <w:r>
        <w:rPr>
          <w:rFonts w:ascii="Times New Roman" w:cs="Times New Roman" w:eastAsia="Times New Roman" w:hAnsi="Times New Roman"/>
          <w:sz w:val="18"/>
          <w:szCs w:val="18"/>
          <w:color w:val="auto"/>
        </w:rPr>
        <w:t>. The investor relations portion of our website is available at</w:t>
      </w:r>
      <w:r>
        <w:rPr>
          <w:rFonts w:ascii="Times New Roman" w:cs="Times New Roman" w:eastAsia="Times New Roman" w:hAnsi="Times New Roman"/>
          <w:sz w:val="18"/>
          <w:szCs w:val="18"/>
          <w:i w:val="1"/>
          <w:iCs w:val="1"/>
          <w:color w:val="auto"/>
        </w:rPr>
        <w:t xml:space="preserve"> corp.braghouse.com</w:t>
      </w:r>
      <w:r>
        <w:rPr>
          <w:rFonts w:ascii="Times New Roman" w:cs="Times New Roman" w:eastAsia="Times New Roman" w:hAnsi="Times New Roman"/>
          <w:sz w:val="18"/>
          <w:szCs w:val="18"/>
          <w:color w:val="auto"/>
        </w:rPr>
        <w:t>. The references to our website addresses do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constitute incorporation by reference of the information contained at or available through our websites, and you should not consider it to be a part of this Quarterly Report. We have included our website addresses in this Quarterly Report solely as inactive textual references.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as modified by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 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 Ended June 30, 2025 as Compared to the Six Months Ended June 30, 2024</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 for the six months ended June 30, 2025 and 2024 was $0 and $55, respectively. Revenues for the periods presented consisted of the following: live-streaming services. This decrease in revenue was mainly attributable to no revenue-generating tournament activity or live streaming services in the six months ended June 30, 2025. The Company had no tournament revenue for the six months ended June 30, 2025 and 2024. The live streaming revenue referenced above represents an insignificant source of revenue for the Company.</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Tournament revenue consists of money earned from tournament sponsors. The Company’s other revenue comes from revenue earned on the Twitch streaming platform through the Company’s enrollment in the Twitch Affiliate Program. The affiliate program allows the Company to earn revenue from advertising provided to viewers on the channel. The Company streams live events, and their channel may also include past tournaments that can be watched as a Video on Demand (“VOD”). Additionally, the Company generates subscription revenue for users who subscribe to Brag House’s Twitch live-streaming channel. Live-streaming service revenue is not considered tournament revenue since it is not directly attributed to money earned from tournament sponsors and is not received from such sources. This revenue is tracked, determined, and disbursed to the Company directly by Twitch.</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Operating Expenses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Operating expenses for the six months ended June 30, 2025 and 2024 were $2,226,205 and $640,417, respectively, and in the six months ended June 30, 2025, consisted mainly of selling, general and administrative expenses of $881,611, legal and professional fees of $468,769, stock-based compensation of $355,571, advertising and marketing costs of $293,756 and software expenses of $225,335. In the six months ended June 30, 2024, the Company’s operating expenses consisted mainly of selling, general and administrative expenses of $273,795, legal and professional fees of $261,752, stock-based compensation on restricted stock agreements of $92,032, advertising and marketing costs of $0 and software expenses of $0. This represents an increase of $607,816 in selling, general and administrative expenses, an increase of $207,017 in legal and professional fees, an increase of $263,539 in stock-based compensation, an increase of $293,756 in advertising and marketing costs and an increase of $225,335 in software expenses. The increase in operating expenses during the six months ended June 30, 2025 was mainly attributed to increased spending in operations with the recent completion of the IPO in March of 2025.</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Income and Expenses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Other income and expenses for the six months ended June 30, 2025 and 2024 were $546,685 and $1,280,298, respectively, and in the six months ended June 30, 2025, consisted mainly of interest expense and amortization of debt discount of $438,709, other expense - stock-based compensation liability of $133,331, other income of $71,310 and other expenses of $46,406. In the six months ended June 30, 2024, the Company’s other income and expense consisted mainly of interest expense and amortization of debt discount of $1,280,974, other expense - stock-based compensation liability of $0, other income of $828 and other expenses of $0. This represents a decrease of $842,265 in interest expense and amortization of debt discount, an increase of $133,331 in other expense - stock-based compensation liability, an increase of $70,482 in other income and an increase of $46,406 in other expenses.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i w:val="1"/>
          <w:iCs w:val="1"/>
          <w:color w:val="auto"/>
        </w:rPr>
        <w:t>Three Months Ended June 30, 2025 as Compared to the Three Months Ended June 30, 2024</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for the three months ended June 30, 2025 and 2024 was $0. This decrease in revenue was mainly attributable to no revenue-generating tournament activity or live streaming services in the three months ended June 30, 2025. The Company had no tournament revenue for the three months ended June 30, 2025 and 2024. The live streaming revenue referenced above represents an insignificant source of revenue for the Company.</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Tournament revenue consists of money earned from tournament sponsors. The Company’s other revenue comes from revenue earned on the Twitch streaming platform through the Company’s enrollment in the Twitch Affiliate Program. The affiliate program allows the Company to earn revenue from advertising provided to viewers on the channel. The Company streams live events, and their channel may also include past tournaments that can be watched as a Video on Demand (“VOD”). Additionally, the Company generates subscription revenue for users who subscribe to Brag House’s Twitch live-streaming channel. Live-streaming service revenue is not considered tournament revenue since it is not directly attributed to money earned from tournament sponsors and is not received from such sources. This revenue is tracked, determined, and disbursed to the Company directly by Twitch.</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Operating Expenses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Operating expenses for the three months ended June 30, 2025 and 2024 were $1,641,735 and $408,612, respectively, and in the three months ended June 30, 2025, consisted mainly of selling, general and administrative expenses of $624,452, legal and professional fees of $330,445, stock-based compensation of $313,071, advertising and marketing costs of $212,306 and software expenses of $160,684. In the three months ended June 30, 2024, the Company’s operating expenses consisted mainly of selling, general and administrative expenses of $151,350, legal and professional fees of $209,294, stock-based compensation of $46,016, advertising and marketing costs of $0 and software expenses of $0. This represents an increase of $473,102 in selling, general and administrative expenses, an increase of $121,151 in legal and professional fees, an increase of $267,055 in stock-based compensation, an increase of $212,306 in advertising and marketing costs and an increase of $160,684 in software expenses. The increase in operating expenses during the three months ended June 30, 2025 was mainly attributed to increased spending in operations with the recent completion of the IPO in March of 2025.</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Income and Expenses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Other income and expenses for the three months ended June 30, 2025 and 2024 were $63,482 and $478,351, respectively, and in the three months ended June 30, 2025, consisted mainly of interest expense and amortization of debt discount of $0, other expense - stock-based compensation liability of $133,331 and other income of $69,709. In the three months ended June 30, 2024, the Company’s other income and expense consisted mainly of interest expense and amortization of debt discount of $478,822, other expense - stock-based compensation liability of $0, and other income of $471. This represents a decrease of $478,822 in interest expense and amortization of debt discount, an increase of $133,331 in other expense - stock-based compensation liability, and an increase of $69,238 in other income.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2025 and December 31, 2024 the Company had $1,548,645 and $29,228 in cash, respectively, and a working capital surplus of $511,564 and deficit of $9,675,586, respectively. The Company’s liquidity needs up to June 30, 2025 were satisfied through proceeds from the sale of equity in the Company’s IPO, convertible debt, notes payable and bridge loans.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accompanying financial statements have been prepared on the basis that the Company will continue as a going concern, which contemplates realization of assets and the satisfaction of liabilities in the normal course of business. At June 30, 2025 and December 31, 2024, the Company had an accumulated deficit of $17,420,592 and $14,647,702, respectively. For the six months ended June 30, 2025 and 2024 the Company had a net loss of $2,772,890 and $1,991,124, respectively, and negative cash flows from operations of $3,226,885 and $184,534, respectively. The Company’s operating activities consume the majority of its cash resources. The Company will continue to promote its services to existing and potential customers, but it anticipates that it will continue to incur operating losses as it executes its development plans through 2025, as well as other potential strategic and business development initiatives. In addition, the Company has had and expects to have negative cash flows from operations, at least into the near future. The Company previously funded and plans to continue funding these losses primarily through the sale of equity and loans. The accompanying financial statements do not include any adjustments that might be necessary should the Company be unable to continue as a going concern.</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Pursuant to our agreement with Moroch, we held the “Texas Loyalty Cup”, a Brag House tournament, in 2021 in collaboration with McDonald’s and Coca-Cola. The success of the tournament led to a continued and stronger relationship with McDonald’s and Coca-Cola as we had held two tournaments in 2022: “SoCal FIFA 23 Tournament” which was a direct contract with Coca-Cola and collaborated with McDonald’s through their marketing agency of the Southern California Region, DE, and “Black and Positively Golden Gamers HBCU Tournament Featuring Fortnite” which was a contract with McDonald’s through their agency, WI, in collaboration with Coca-Cola. Due to the success Brag House was able to achieve, the partnership with McDonald’s and Coca-Cola grew stronger as Brag House was contracted by Coca-Cola, in collaboration with McDonald’s, for the third consecutive year to host a nationwide Fortnite tournament with student gamers from five states (Washington, Oregon, California, Oklahoma and Kansas). The tournament is known as the Golden Royale Cup, and took place over the course of three weeks in November, with three qualifying matches, followed by a grand finale match. The Golden Royale Cup amassed nearly 20,000 total hours of aggregate live-streaming content watched, and garnered nearly 300,000 views from gamers watching the tournament in real-time. Furthermore, the event received nearly 1 million impressions across Brag House’s social media platforms.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38" w:name="page39"/>
    <w:bookmarkEnd w:id="38"/>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the Golden Royale Cup from November 2023, Brag House has finalized three major partnerships agreements; the first with the FWSC, a division of The City of Fort Worth, where we hosted an in-person esports and scholars event on September 21, 2024 at the FWCC focused on college students for the State of Texas. This event showcased not only competitive gaming for the casual gamers but also educational and career opportunities related to gaming and esports for Texas college students while giving the students opportunities to earn and win scholarships. This event featured speakers and panelists from diverse industries, including media agencies, universities, and the movie and entertainment sectors; the second with the Denver Broncos, a world-renowned American Football franchise that competes in the NFL to be a gaming partner for in-person and digital gaming activations (i.e. gaming events) for, at minimum, the 2023-2024 NFL seasons. This partnership concluded in September 2024.</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Brag House also secured a strategic partnership for tournament and promotional events in 2025 with Learfield Communications, LLC, formerly Learfield IMG College, a billion dollar media company that holds the media rights to hundreds of colleges in the US, including collegiate properties as the NCAA and its 89 championships and NCAA Football. However, it is important to note that the current agreement does not guarantee revenue, nor does it obligate Learfield or its affiliates to provide data access or support beyond the sales representation scope. The partnership’s first activation was held online on May 17, 2025 (originally scheduled for March 5, 2025) for students and alumni of the University of Florida, one of Learfield’s media rights properties. The execution of this initial activation will serve as a test case for future expansion and data-driven initiatives.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partnership positions Brag House to leverage Learfield’s college network to generate sponsorship revenue, ensuring brand engagement opportunities, and gives Brag House access to extensive datasets from diverse college campuses as we evolve into a scalable data insight revenue model, where we aim to enable brands to gain data insights to create enhanced, personalized and effective marketing campaigns.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this partnership will contribute directly to Brag House’s revenue model through shared sponsorship earnings, while validating Brag House’s marketing and data strategy for reaching college-aged Gen Z gamers. Through this, the Company plans to scale across Learfield’s properties, expanding brand partnerships in the gaming and esports spaces.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believes this is a strong indicator of continued growth in the coming years for tournament revenue. While the Company believes in its viability to raise additional funds, there can be no assurances to that effect. The ability of the Company to continue as a going concern is dependent upon the Company’s ability to further implement its business plan.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However, the Company has earned minimal revenue through the six months ended June 30, 2025. As such, these matters raise substantial doubt about the Company’s ability to continue as a going concern for the next twelve months from the issuance of the accompanying consolidated financial statements. If adequate funds are not available on acceptable terms, or at all, the Company will need to curtail operations or cease operations completely.</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60" w:type="dxa"/>
            <w:vAlign w:val="bottom"/>
          </w:tcPr>
          <w:p>
            <w:pPr>
              <w:spacing w:after="0"/>
              <w:rPr>
                <w:sz w:val="18"/>
                <w:szCs w:val="18"/>
                <w:color w:val="auto"/>
              </w:rPr>
            </w:pPr>
          </w:p>
        </w:tc>
        <w:tc>
          <w:tcPr>
            <w:tcW w:w="10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0" w:type="dxa"/>
            <w:vAlign w:val="bottom"/>
          </w:tcPr>
          <w:p>
            <w:pPr>
              <w:spacing w:after="0"/>
              <w:rPr>
                <w:sz w:val="1"/>
                <w:szCs w:val="1"/>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(Used In) Provided By Operating Activities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(3,226,885)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Flows Provided By Financing Activities</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4,746,302</w:t>
            </w:r>
          </w:p>
        </w:tc>
        <w:tc>
          <w:tcPr>
            <w:tcW w:w="160" w:type="dxa"/>
            <w:vAlign w:val="bottom"/>
          </w:tcPr>
          <w:p>
            <w:pPr>
              <w:spacing w:after="0"/>
              <w:rPr>
                <w:sz w:val="19"/>
                <w:szCs w:val="19"/>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158,818</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w:t>
            </w: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1,519,417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(25,716</w:t>
            </w:r>
          </w:p>
        </w:tc>
        <w:tc>
          <w:tcPr>
            <w:tcW w:w="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Used In Operating Activities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six months ended June 30, 2025, we used $3,226,885 of cash in our operating activities, which was mainly attributable to the payment of accounts payable, accrued payroll, accrued interest, and accrued liabilities. For the six months ended June 30, 2024, we used $184,534 of cash from our operating activities, which was mainly attributable to increases in accounts payable, accrued payroll, loan extension fees, share payable, and accrued interest and the payment of accrued liabilities.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Provided By Financing Activities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six months ended June 30, 2025, we received $6,991,650 from the issuance of notes payable, original issue discount convertible loans, and the sale of Common Stock. We reduced our cash position by repaying notes payable and original issue discount convertible loans, net of debt discounts and debt issuance costs for $876,626. Also, we reduced our cash position with the payment of offering costs in connection with the sale of Common Stock totaling $1,368,722. For the six months ended June 30, 2024, we received $151,620 from the issuance of original issue discount convertible loans, net of debt discounts and debt issuance costs and received $12,198 from the issuance of a note payable.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did not have any off-balance sheet arrangements as defined in Item 303(a)(4)(ii) of Regulation S-K promulgated under the Exchange Act.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did not have any contractual obligations or commitments which would have an impact on our financial statements for the six months ending June 30,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Internal Control Over Financial Reporting</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Prior to our IPO, we had been a private company with limited accounting and financial reporting personnel and other resources to address our internal controls and procedures. In connection with the audits of our consolidated financial statements as of December 31, 2024 , we identified control deficiencies in our financial reporting process that constitute material weaknesses for the years then ended. We have a material weakness related to the review and approval of cash disbursements and related journal entries for operating and payroll-related expenses incurred, including the failure to maintain readily accessible executed versions of significant agreements entered into by the Company. Due to the lack of formal documentation maintained around the review and approval of these types of transactions, it was determined that we did not adhere to established controls around our cash disbursement process, nor the review and approval of related journal entries recorded. Additionally, we have a material weakness related to the lack of controls over our income tax related accounts and disclosures. In the absence of such formal documentation related to our management’s review and approval of such processes, potential material misstatements may go undetected. Additionally, the Company has a material weakness related to the lack of cybersecurity policies and procedures in place. In the absence of cybersecurity controls, Company operations may be negatively impacted, as all Company activities take place online.</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defined in the standards established by the Public Company Accounting Oversight Board, or the PCAOB, of the United States, 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already taken a number of measures to address the internal control deficiencies that have been identified including, hiring a full-time chief financial office with extensive public-company reporting and technical accounting experience to provide additional financial reporting oversight and review, expanding our existing accounting and financial reporting personnel, as well as establishing effective monitoring and oversight controls. We believe these measures will assist us with meeting the Sarbanes-Oxley compliance requirements and improving our overall internal controls. However, we cannot assure you that these measures may fully address the material weaknesses in our internal control over financial reporting or that we may conclude that they have been fully remediated.</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expect to implement our remediation plan within the next 12 months. However, we have not tested the effectiveness of our internal control over financial reporting and cannot assure you that we will be able to successfully remediate these material weaknesses and, even if we do, we cannot assure you that we will not suffer from other material weaknesses in the future. Except for additional personnel costs, we do not expect to incur any material costs related to our remediation plan.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process of designing and implementing an effective financial reporting system is a continuous effort that requires us to anticipate and react to changes in our business and the economic and regulatory environments and to expend significant resources to maintain a financial reporting system that is adequate to satisfy our reporting obligation.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company with less than US $1.235 billion in revenue for our last fiscal year, we qualify as an “emerging growth company” pursuant to the JOBS Act. An emerging growth company may take advantage of specified reduced reporting and other requirements that are otherwise applicable generally to public companies. These provisions include exemption from the auditor attestation requirement under Section 404 of the Sarbanes-Oxley Act of 2002, in the assessment of the emerging growth company’s internal control over financial reporting.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2 of the notes to our consolidated financial statements for a comprehensive list of new accounting pronouncements.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prepare our consolidated financial statements in accordance with U.S. generally accepted accounting principles, which require our management to make estimates that affect the reported amounts of assets and liabilities and disclosure of contingent assets and liabilities at the balance sheet dates, as well as the reported amounts of revenues and expenses during the reporting periods. To the extent that there are material differences between these estimates and actual results, our financial condition or results of operations would be affected. We base our estimates on our own historical experience and other assumptions that we believe are reasonable after taking account of our circumstances and expectations for the future based on available information. We evaluate these estimates on an ongoing basis.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consider an accounting estimate to be critical if: (i) the accounting estimate requires us to make assumptions about matters that were highly uncertain at the time the accounting estimate was made, and (ii) changes in the estimate that are reasonably likely to occur from period to period or use of different estimates that we reasonably could have used in the current period, would have a material impact on our financial condition or results of operations.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consider the accounting for our technology purchase agreements with Artemis Ave LLC (“Artemis”) and EVEMeta, LLC (“EVEMeta”) to be a critical accounting estimate due to the significant judgment required in valuing and recognizing related stock-based compensation as software expense and capitalized implementation costs. In November 2024, we issued an aggregate of 1,250,000 shares of our common stock (valued at $5.0 million at grant date) in exchange for software development, software usage and support and maintenance services. The original agreements included a guaranteed minimum-value cash settlement provision, which required liability classification and periodic fair value measurement using a Monte Carlo simulation model under ASC 718.</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12, 2025, we amended the agreements to remove the minimum-value provision in exchange for $250,000 in cash payments, resulting in settlement of a $116,669 liability and recognition of $133,331 in other expense. For the six months ended June 30, 2025, we recognized $199,089 of expense and $389,171 of capitalized implementation costs related to these agreements. Capitalized costs will be amortized once the related software is placed in service.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Subsequent to the amendment, we continue to estimate the recognition of stock-based compensation as capitalized implementation costs in connection with the services provided by estimating the percentage of completion of the statements of work for the software development. Also, for the software usage and support and maintenance services, we recognize stock-based compensation costs as software expense equally over the established time frame for those statements of work.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valuation of the liability component prior to amendment involved significant assumptions, including volatility, expected term, and discount rates.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these assumptions, or in the estimated service periods, could materially affect the amount and timing of expense recognition.</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 detailed discussion of our significant accounting policies and related judgments, see Note 2 of the Notes to Consolidated Financial Statements in this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 and Management’s Liquidity Plans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independent auditors’ report accompanying our December 31, 2024 financial statements contain an explanatory paragraph expressing substantial doubt about our ability to continue as a going concern. As of June 30, 2025, we have incurred recurring losses from operations and have not generated net income since our inception. We have funded our operations primarily through debt and equity financings, including the proceeds received in connection with our public offering on March 6, 2025, upon which we became a publicly traded company subsequent to the date of these financial statements. While this recent capital raise has provided us with the resources necessary to begin executing our business plan, we anticipate that we will continue to incur operating losses and negative cash flows from operations for the foreseeable future.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in the development stage of our platform and related software, and we do not expect to generate sufficient revenue to achieve net income during the next twelve months. Our business plan includes the ongoing development of our software platform, strategic marketing initiatives, and the organization of several gaming activations during the upcoming fiscal year to increase user engagement and brand visibility.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we believe that our current cash and cash equivalents, together with the funds raised in our recent public offering, will be sufficient to fund our operations through at least the next twelve months, our operating plan anticipates continued investment in product development, infrastructure, and customer acquisition to realize sufficient revenue to cover operating expenses. These conditions raise substantial doubt about our ability to continue as a going concern within one year after the date that the financial statements are issued.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Accordingly, the accompanying financial statements have been prepared in conformity with U.S. GAAP, which contemplates continuation of the Company as a going concern and the realization of assets and the satisfaction of liabilities in the normal course of business. The financial statements do not include any adjustments that might result from the outcome of this uncertainty.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hold any derivative instruments and do not engage in any hedging activities.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Disclosure Controls and Procedures</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maintain “disclosure controls and procedures,” as that term is defined in Rule 13a-15(e), promulgated by the SEC pursuant to the Securities Exchange Act of 1934, as amended (the “Exchange Act”). Disclosure controls and procedures include controls and procedures designed to ensure that information required to be disclosed in our Company’s reports filed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to allow timely decisions regarding required disclosure. Our management, with the participation of our principal executive officer and principal financial officer, evaluated our Company’s disclosure controls and procedures as of the end of the period covered by this Form 10-Q. Based on this evaluation, our principal executive officer and principal financial officer concluded that as of June 30, 2025, our disclosure controls and procedures were not effective. The ineffectiveness of our disclosure controls and procedures was due to material weaknesses related to the review and approval of cash disbursements and related journal entries for operating and payroll-related expenses incurred, including the failure to maintain readily accessible executed versions of significant agreements entered into by the Company and the lack of controls over our income tax related accounts and disclosures. In the absence of such formal documentation related to our management’s review and approval of such processes, potential material misstatements may go undetected. Additionally, the Company has a material weakness related to its ability to record and disclose complex transactions with debt and/or equity features. Lastly, the Company has a material weakness related to the lack of cybersecurity policies and procedures in place. In the absence of cybersecurity controls, Company operations may be negatively impacted, as all Company activities take place online.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Quarterly Report on Internal Control Over Financial Reporting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Quarterly Report on Form 10-Q does not include a report of management’s assessment regarding internal control over financial reporting due to a transition period established by the rules of the SEC for newly public companies.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(as defined in Rules 13a-15(f) and 15d-15(f) of the Exchange Act) during the fiscal quarter ended June 30, 2025, that has materially affected, or is reasonably likely to materially affect, the Company’s internal control over financial reporting.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are no actions, suits, proceedings, inquiries or investigation before or by any court, public board, government agency, self-regulatory organization or body pending or, to the knowledge of the executive officers of our Company or any of our subsidiaries, threatened against or affecting our Company, our common stock, any of our officers or directors in their capacities as such, in which an adverse decision could have a material adverse effect.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Naked Short Selling Investigation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14, 2025, the Company issued a press release announcing that the Company had sent letters to the U.S. Securities and Exchange Commission, Financial Industry Regulatory Authority, and The Nasdaq Stock Market LLC requesting an immediate investigation into any potential illegal naked short selling of Brag House stock. The outcome of this request is still pending.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Unregistered Sales of Equity Securities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sales of equity securities sold during the period covered by this Quarterly Report that were not registered under the Securities Act and were not previously reported in a Current Report on Form 8-K filed by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Issuer Purchases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 (Removed and Reserved)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 index set forth below is incorporated by reference in response to this Item 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900" w:type="dxa"/>
            <w:vAlign w:val="bottom"/>
            <w:tcBorders>
              <w:bottom w:val="single" w:sz="8" w:color="auto"/>
            </w:tcBorders>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0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Filed or</w:t>
            </w:r>
          </w:p>
        </w:tc>
      </w:tr>
      <w:tr>
        <w:trPr>
          <w:trHeight w:val="180"/>
        </w:trPr>
        <w:tc>
          <w:tcPr>
            <w:tcW w:w="1040" w:type="dxa"/>
            <w:vAlign w:val="bottom"/>
            <w:gridSpan w:val="2"/>
          </w:tcPr>
          <w:p>
            <w:pPr>
              <w:spacing w:after="0" w:line="180" w:lineRule="exact"/>
              <w:rPr>
                <w:sz w:val="20"/>
                <w:szCs w:val="20"/>
                <w:color w:val="auto"/>
              </w:rPr>
            </w:pPr>
            <w:r>
              <w:rPr>
                <w:rFonts w:ascii="Times New Roman" w:cs="Times New Roman" w:eastAsia="Times New Roman" w:hAnsi="Times New Roman"/>
                <w:sz w:val="18"/>
                <w:szCs w:val="18"/>
                <w:b w:val="1"/>
                <w:bCs w:val="1"/>
                <w:color w:val="auto"/>
              </w:rPr>
              <w:t>Exhibit</w:t>
            </w: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Furnished</w:t>
            </w:r>
          </w:p>
        </w:tc>
      </w:tr>
      <w:tr>
        <w:trPr>
          <w:trHeight w:val="245"/>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0" w:type="dxa"/>
            <w:vAlign w:val="bottom"/>
            <w:gridSpan w:val="5"/>
          </w:tcPr>
          <w:p>
            <w:pPr>
              <w:ind w:left="104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0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Herewith</w:t>
            </w:r>
          </w:p>
        </w:tc>
      </w:tr>
      <w:tr>
        <w:trPr>
          <w:trHeight w:val="196"/>
        </w:trPr>
        <w:tc>
          <w:tcPr>
            <w:tcW w:w="9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4140" w:type="dxa"/>
            <w:vAlign w:val="bottom"/>
            <w:tcBorders>
              <w:top w:val="single" w:sz="8" w:color="auto"/>
              <w:bottom w:val="single" w:sz="8" w:color="0000EE"/>
            </w:tcBorders>
            <w:gridSpan w:val="7"/>
            <w:shd w:val="clear" w:color="auto" w:fill="CCEEFF"/>
          </w:tcPr>
          <w:p>
            <w:pPr>
              <w:spacing w:after="0" w:line="176" w:lineRule="exact"/>
              <w:rPr>
                <w:rFonts w:ascii="Times New Roman" w:cs="Times New Roman" w:eastAsia="Times New Roman" w:hAnsi="Times New Roman"/>
                <w:sz w:val="18"/>
                <w:szCs w:val="18"/>
                <w:color w:val="0000EE"/>
                <w:w w:val="99"/>
              </w:rPr>
            </w:pPr>
            <w:hyperlink r:id="rId58">
              <w:r>
                <w:rPr>
                  <w:rFonts w:ascii="Times New Roman" w:cs="Times New Roman" w:eastAsia="Times New Roman" w:hAnsi="Times New Roman"/>
                  <w:sz w:val="18"/>
                  <w:szCs w:val="18"/>
                  <w:color w:val="0000EE"/>
                  <w:w w:val="99"/>
                </w:rPr>
                <w:t>Certificate of Incorporation of Brag House Holdings, Inc.</w:t>
              </w:r>
            </w:hyperlink>
          </w:p>
        </w:tc>
        <w:tc>
          <w:tcPr>
            <w:tcW w:w="100" w:type="dxa"/>
            <w:vAlign w:val="bottom"/>
            <w:tcBorders>
              <w:top w:val="single" w:sz="8" w:color="auto"/>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S-1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0" w:type="dxa"/>
            <w:vAlign w:val="bottom"/>
            <w:tcBorders>
              <w:top w:val="single" w:sz="8" w:color="auto"/>
              <w:bottom w:val="single" w:sz="8" w:color="CCEEFF"/>
            </w:tcBorders>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06/18/2024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0" w:type="dxa"/>
            <w:vAlign w:val="bottom"/>
            <w:tcBorders>
              <w:top w:val="single" w:sz="8" w:color="auto"/>
              <w:bottom w:val="single" w:sz="8" w:color="CCEEFF"/>
            </w:tcBorders>
            <w:shd w:val="clear" w:color="auto" w:fill="CCEEFF"/>
          </w:tcPr>
          <w:p>
            <w:pPr>
              <w:spacing w:after="0"/>
              <w:rPr>
                <w:sz w:val="17"/>
                <w:szCs w:val="17"/>
                <w:color w:val="auto"/>
              </w:rPr>
            </w:pPr>
          </w:p>
        </w:tc>
      </w:tr>
      <w:tr>
        <w:trPr>
          <w:trHeight w:val="175"/>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5"/>
                <w:szCs w:val="15"/>
                <w:color w:val="auto"/>
              </w:rPr>
            </w:pPr>
          </w:p>
        </w:tc>
        <w:tc>
          <w:tcPr>
            <w:tcW w:w="5060" w:type="dxa"/>
            <w:vAlign w:val="bottom"/>
            <w:gridSpan w:val="12"/>
          </w:tcPr>
          <w:p>
            <w:pPr>
              <w:spacing w:after="0" w:line="176" w:lineRule="exact"/>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Certificate of Designation of Series A Convertible Preferred Stock</w:t>
              </w:r>
            </w:hyperlink>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7"/>
              </w:rPr>
              <w:t>S-1/A</w:t>
            </w:r>
          </w:p>
        </w:tc>
        <w:tc>
          <w:tcPr>
            <w:tcW w:w="8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5"/>
                <w:szCs w:val="15"/>
                <w:color w:val="auto"/>
              </w:rPr>
            </w:pPr>
          </w:p>
        </w:tc>
        <w:tc>
          <w:tcPr>
            <w:tcW w:w="100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07/10/2024</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1"/>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6"/>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spacing w:after="0"/>
              <w:rPr>
                <w:sz w:val="15"/>
                <w:szCs w:val="15"/>
                <w:color w:val="auto"/>
              </w:rPr>
            </w:pPr>
          </w:p>
        </w:tc>
        <w:tc>
          <w:tcPr>
            <w:tcW w:w="7100" w:type="dxa"/>
            <w:vAlign w:val="bottom"/>
            <w:gridSpan w:val="19"/>
            <w:shd w:val="clear" w:color="auto" w:fill="CCEEFF"/>
          </w:tcPr>
          <w:p>
            <w:pPr>
              <w:spacing w:after="0" w:line="176" w:lineRule="exact"/>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Certificate of Amendment to Certificate of Incorporation of Brag House Holdings,</w:t>
              </w:r>
            </w:hyperlink>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96"/>
        </w:trPr>
        <w:tc>
          <w:tcPr>
            <w:tcW w:w="9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0000EE"/>
            </w:tcBorders>
            <w:gridSpan w:val="2"/>
            <w:shd w:val="clear" w:color="auto" w:fill="CCEEFF"/>
          </w:tcPr>
          <w:p>
            <w:pPr>
              <w:spacing w:after="0" w:line="196" w:lineRule="exact"/>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Inc.</w:t>
              </w:r>
            </w:hyperlink>
          </w:p>
        </w:tc>
        <w:tc>
          <w:tcPr>
            <w:tcW w:w="220" w:type="dxa"/>
            <w:vAlign w:val="bottom"/>
            <w:tcBorders>
              <w:top w:val="single" w:sz="8" w:color="0000EE"/>
            </w:tcBorders>
            <w:shd w:val="clear" w:color="auto" w:fill="CCEEFF"/>
          </w:tcPr>
          <w:p>
            <w:pPr>
              <w:spacing w:after="0"/>
              <w:rPr>
                <w:sz w:val="17"/>
                <w:szCs w:val="17"/>
                <w:color w:val="auto"/>
              </w:rPr>
            </w:pPr>
          </w:p>
        </w:tc>
        <w:tc>
          <w:tcPr>
            <w:tcW w:w="1460" w:type="dxa"/>
            <w:vAlign w:val="bottom"/>
            <w:tcBorders>
              <w:top w:val="single" w:sz="8" w:color="0000EE"/>
            </w:tcBorders>
            <w:shd w:val="clear" w:color="auto" w:fill="CCEEFF"/>
          </w:tcPr>
          <w:p>
            <w:pPr>
              <w:spacing w:after="0"/>
              <w:rPr>
                <w:sz w:val="17"/>
                <w:szCs w:val="17"/>
                <w:color w:val="auto"/>
              </w:rPr>
            </w:pPr>
          </w:p>
        </w:tc>
        <w:tc>
          <w:tcPr>
            <w:tcW w:w="120" w:type="dxa"/>
            <w:vAlign w:val="bottom"/>
            <w:tcBorders>
              <w:top w:val="single" w:sz="8" w:color="0000EE"/>
            </w:tcBorders>
            <w:shd w:val="clear" w:color="auto" w:fill="CCEEFF"/>
          </w:tcPr>
          <w:p>
            <w:pPr>
              <w:spacing w:after="0"/>
              <w:rPr>
                <w:sz w:val="17"/>
                <w:szCs w:val="17"/>
                <w:color w:val="auto"/>
              </w:rPr>
            </w:pPr>
          </w:p>
        </w:tc>
        <w:tc>
          <w:tcPr>
            <w:tcW w:w="300" w:type="dxa"/>
            <w:vAlign w:val="bottom"/>
            <w:tcBorders>
              <w:top w:val="single" w:sz="8" w:color="0000EE"/>
            </w:tcBorders>
            <w:shd w:val="clear" w:color="auto" w:fill="CCEEFF"/>
          </w:tcPr>
          <w:p>
            <w:pPr>
              <w:spacing w:after="0"/>
              <w:rPr>
                <w:sz w:val="17"/>
                <w:szCs w:val="17"/>
                <w:color w:val="auto"/>
              </w:rPr>
            </w:pPr>
          </w:p>
        </w:tc>
        <w:tc>
          <w:tcPr>
            <w:tcW w:w="102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320" w:type="dxa"/>
            <w:vAlign w:val="bottom"/>
            <w:tcBorders>
              <w:top w:val="single" w:sz="8" w:color="0000EE"/>
            </w:tcBorders>
            <w:shd w:val="clear" w:color="auto" w:fill="CCEEFF"/>
          </w:tcPr>
          <w:p>
            <w:pPr>
              <w:spacing w:after="0"/>
              <w:rPr>
                <w:sz w:val="17"/>
                <w:szCs w:val="17"/>
                <w:color w:val="auto"/>
              </w:rPr>
            </w:pPr>
          </w:p>
        </w:tc>
        <w:tc>
          <w:tcPr>
            <w:tcW w:w="220" w:type="dxa"/>
            <w:vAlign w:val="bottom"/>
            <w:tcBorders>
              <w:top w:val="single" w:sz="8" w:color="0000EE"/>
            </w:tcBorders>
            <w:shd w:val="clear" w:color="auto" w:fill="CCEEFF"/>
          </w:tcPr>
          <w:p>
            <w:pPr>
              <w:spacing w:after="0"/>
              <w:rPr>
                <w:sz w:val="17"/>
                <w:szCs w:val="17"/>
                <w:color w:val="auto"/>
              </w:rPr>
            </w:pPr>
          </w:p>
        </w:tc>
        <w:tc>
          <w:tcPr>
            <w:tcW w:w="20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320" w:type="dxa"/>
            <w:vAlign w:val="bottom"/>
            <w:tcBorders>
              <w:top w:val="single" w:sz="8" w:color="0000EE"/>
            </w:tcBorders>
            <w:shd w:val="clear" w:color="auto" w:fill="CCEEFF"/>
          </w:tcPr>
          <w:p>
            <w:pPr>
              <w:spacing w:after="0"/>
              <w:rPr>
                <w:sz w:val="17"/>
                <w:szCs w:val="17"/>
                <w:color w:val="auto"/>
              </w:rPr>
            </w:pPr>
          </w:p>
        </w:tc>
        <w:tc>
          <w:tcPr>
            <w:tcW w:w="480" w:type="dxa"/>
            <w:vAlign w:val="bottom"/>
            <w:tcBorders>
              <w:top w:val="single" w:sz="8" w:color="0000EE"/>
            </w:tcBorders>
            <w:shd w:val="clear" w:color="auto" w:fill="CCEEFF"/>
          </w:tcPr>
          <w:p>
            <w:pPr>
              <w:spacing w:after="0"/>
              <w:rPr>
                <w:sz w:val="17"/>
                <w:szCs w:val="17"/>
                <w:color w:val="auto"/>
              </w:rPr>
            </w:pPr>
          </w:p>
        </w:tc>
        <w:tc>
          <w:tcPr>
            <w:tcW w:w="20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CCEEFF"/>
            </w:tcBorders>
            <w:gridSpan w:val="2"/>
            <w:shd w:val="clear" w:color="auto" w:fill="CCEEFF"/>
          </w:tcPr>
          <w:p>
            <w:pPr>
              <w:jc w:val="center"/>
              <w:ind w:right="120"/>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880" w:type="dxa"/>
            <w:vAlign w:val="bottom"/>
            <w:tcBorders>
              <w:top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ind w:left="80"/>
              <w:spacing w:after="0" w:line="196" w:lineRule="exact"/>
              <w:rPr>
                <w:sz w:val="20"/>
                <w:szCs w:val="20"/>
                <w:color w:val="auto"/>
              </w:rPr>
            </w:pPr>
            <w:r>
              <w:rPr>
                <w:rFonts w:ascii="Times New Roman" w:cs="Times New Roman" w:eastAsia="Times New Roman" w:hAnsi="Times New Roman"/>
                <w:sz w:val="18"/>
                <w:szCs w:val="18"/>
                <w:color w:val="auto"/>
              </w:rPr>
              <w:t>06/18/2024</w:t>
            </w: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5"/>
                <w:szCs w:val="15"/>
                <w:color w:val="auto"/>
              </w:rPr>
            </w:pPr>
          </w:p>
        </w:tc>
        <w:tc>
          <w:tcPr>
            <w:tcW w:w="7100" w:type="dxa"/>
            <w:vAlign w:val="bottom"/>
            <w:gridSpan w:val="19"/>
          </w:tcPr>
          <w:p>
            <w:pPr>
              <w:spacing w:after="0" w:line="176" w:lineRule="exact"/>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Second Certificate of Amendment to Certificate of Incorporation of Brag House</w:t>
              </w:r>
            </w:hyperlink>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r:id="rId61">
              <w:r>
                <w:rPr>
                  <w:rFonts w:ascii="Times New Roman" w:cs="Times New Roman" w:eastAsia="Times New Roman" w:hAnsi="Times New Roman"/>
                  <w:sz w:val="18"/>
                  <w:szCs w:val="18"/>
                  <w:color w:val="0000EE"/>
                  <w:w w:val="97"/>
                </w:rPr>
                <w:t>Holdings, Inc.</w:t>
              </w:r>
            </w:hyperlink>
          </w:p>
        </w:tc>
        <w:tc>
          <w:tcPr>
            <w:tcW w:w="220" w:type="dxa"/>
            <w:vAlign w:val="bottom"/>
            <w:tcBorders>
              <w:top w:val="single" w:sz="8" w:color="0000EE"/>
            </w:tcBorders>
          </w:tcPr>
          <w:p>
            <w:pPr>
              <w:spacing w:after="0"/>
              <w:rPr>
                <w:sz w:val="17"/>
                <w:szCs w:val="17"/>
                <w:color w:val="auto"/>
              </w:rPr>
            </w:pPr>
          </w:p>
        </w:tc>
        <w:tc>
          <w:tcPr>
            <w:tcW w:w="14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0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center"/>
              <w:ind w:right="120"/>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8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7"/>
                <w:szCs w:val="17"/>
                <w:color w:val="auto"/>
              </w:rPr>
            </w:pPr>
          </w:p>
        </w:tc>
        <w:tc>
          <w:tcPr>
            <w:tcW w:w="100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06/18/2024</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15"/>
                <w:szCs w:val="15"/>
                <w:color w:val="auto"/>
              </w:rPr>
            </w:pPr>
          </w:p>
        </w:tc>
        <w:tc>
          <w:tcPr>
            <w:tcW w:w="7100" w:type="dxa"/>
            <w:vAlign w:val="bottom"/>
            <w:gridSpan w:val="19"/>
            <w:shd w:val="clear" w:color="auto" w:fill="CCEEFF"/>
          </w:tcPr>
          <w:p>
            <w:pPr>
              <w:spacing w:after="0" w:line="176" w:lineRule="exact"/>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Third Certificate of Amendment to Certificate of Incorporation of Brag House</w:t>
              </w:r>
            </w:hyperlink>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222"/>
        </w:trPr>
        <w:tc>
          <w:tcPr>
            <w:tcW w:w="9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0000EE"/>
              <w:bottom w:val="single" w:sz="8" w:color="0000EE"/>
            </w:tcBorders>
            <w:gridSpan w:val="2"/>
            <w:shd w:val="clear" w:color="auto" w:fill="CCEEFF"/>
          </w:tcPr>
          <w:p>
            <w:pPr>
              <w:spacing w:after="0" w:line="196" w:lineRule="exact"/>
              <w:rPr>
                <w:rFonts w:ascii="Times New Roman" w:cs="Times New Roman" w:eastAsia="Times New Roman" w:hAnsi="Times New Roman"/>
                <w:sz w:val="18"/>
                <w:szCs w:val="18"/>
                <w:color w:val="0000EE"/>
                <w:w w:val="97"/>
              </w:rPr>
            </w:pPr>
            <w:hyperlink r:id="rId62">
              <w:r>
                <w:rPr>
                  <w:rFonts w:ascii="Times New Roman" w:cs="Times New Roman" w:eastAsia="Times New Roman" w:hAnsi="Times New Roman"/>
                  <w:sz w:val="18"/>
                  <w:szCs w:val="18"/>
                  <w:color w:val="0000EE"/>
                  <w:w w:val="97"/>
                </w:rPr>
                <w:t>Holdings, Inc.</w:t>
              </w:r>
            </w:hyperlink>
          </w:p>
        </w:tc>
        <w:tc>
          <w:tcPr>
            <w:tcW w:w="220" w:type="dxa"/>
            <w:vAlign w:val="bottom"/>
            <w:tcBorders>
              <w:top w:val="single" w:sz="8" w:color="0000EE"/>
              <w:bottom w:val="single" w:sz="8" w:color="CCEEFF"/>
            </w:tcBorders>
            <w:shd w:val="clear" w:color="auto" w:fill="CCEEFF"/>
          </w:tcPr>
          <w:p>
            <w:pPr>
              <w:spacing w:after="0"/>
              <w:rPr>
                <w:sz w:val="18"/>
                <w:szCs w:val="18"/>
                <w:color w:val="auto"/>
              </w:rPr>
            </w:pPr>
          </w:p>
        </w:tc>
        <w:tc>
          <w:tcPr>
            <w:tcW w:w="1460" w:type="dxa"/>
            <w:vAlign w:val="bottom"/>
            <w:tcBorders>
              <w:top w:val="single" w:sz="8" w:color="0000EE"/>
              <w:bottom w:val="single" w:sz="8" w:color="CCEEFF"/>
            </w:tcBorders>
            <w:shd w:val="clear" w:color="auto" w:fill="CCEEFF"/>
          </w:tcPr>
          <w:p>
            <w:pPr>
              <w:spacing w:after="0"/>
              <w:rPr>
                <w:sz w:val="18"/>
                <w:szCs w:val="18"/>
                <w:color w:val="auto"/>
              </w:rPr>
            </w:pPr>
          </w:p>
        </w:tc>
        <w:tc>
          <w:tcPr>
            <w:tcW w:w="120" w:type="dxa"/>
            <w:vAlign w:val="bottom"/>
            <w:tcBorders>
              <w:top w:val="single" w:sz="8" w:color="0000EE"/>
              <w:bottom w:val="single" w:sz="8" w:color="CCEEFF"/>
            </w:tcBorders>
            <w:shd w:val="clear" w:color="auto" w:fill="CCEEFF"/>
          </w:tcPr>
          <w:p>
            <w:pPr>
              <w:spacing w:after="0"/>
              <w:rPr>
                <w:sz w:val="18"/>
                <w:szCs w:val="18"/>
                <w:color w:val="auto"/>
              </w:rPr>
            </w:pPr>
          </w:p>
        </w:tc>
        <w:tc>
          <w:tcPr>
            <w:tcW w:w="300" w:type="dxa"/>
            <w:vAlign w:val="bottom"/>
            <w:tcBorders>
              <w:top w:val="single" w:sz="8" w:color="0000EE"/>
              <w:bottom w:val="single" w:sz="8" w:color="CCEEFF"/>
            </w:tcBorders>
            <w:shd w:val="clear" w:color="auto" w:fill="CCEEFF"/>
          </w:tcPr>
          <w:p>
            <w:pPr>
              <w:spacing w:after="0"/>
              <w:rPr>
                <w:sz w:val="18"/>
                <w:szCs w:val="18"/>
                <w:color w:val="auto"/>
              </w:rPr>
            </w:pPr>
          </w:p>
        </w:tc>
        <w:tc>
          <w:tcPr>
            <w:tcW w:w="1020" w:type="dxa"/>
            <w:vAlign w:val="bottom"/>
            <w:tcBorders>
              <w:top w:val="single" w:sz="8" w:color="0000EE"/>
              <w:bottom w:val="single" w:sz="8" w:color="CCEEFF"/>
            </w:tcBorders>
            <w:shd w:val="clear" w:color="auto" w:fill="CCEEFF"/>
          </w:tcPr>
          <w:p>
            <w:pPr>
              <w:spacing w:after="0"/>
              <w:rPr>
                <w:sz w:val="18"/>
                <w:szCs w:val="18"/>
                <w:color w:val="auto"/>
              </w:rPr>
            </w:pPr>
          </w:p>
        </w:tc>
        <w:tc>
          <w:tcPr>
            <w:tcW w:w="100" w:type="dxa"/>
            <w:vAlign w:val="bottom"/>
            <w:tcBorders>
              <w:top w:val="single" w:sz="8" w:color="0000EE"/>
              <w:bottom w:val="single" w:sz="8" w:color="CCEEFF"/>
            </w:tcBorders>
            <w:shd w:val="clear" w:color="auto" w:fill="CCEEFF"/>
          </w:tcPr>
          <w:p>
            <w:pPr>
              <w:spacing w:after="0"/>
              <w:rPr>
                <w:sz w:val="18"/>
                <w:szCs w:val="18"/>
                <w:color w:val="auto"/>
              </w:rPr>
            </w:pPr>
          </w:p>
        </w:tc>
        <w:tc>
          <w:tcPr>
            <w:tcW w:w="320" w:type="dxa"/>
            <w:vAlign w:val="bottom"/>
            <w:tcBorders>
              <w:top w:val="single" w:sz="8" w:color="0000EE"/>
              <w:bottom w:val="single" w:sz="8" w:color="CCEEFF"/>
            </w:tcBorders>
            <w:shd w:val="clear" w:color="auto" w:fill="CCEEFF"/>
          </w:tcPr>
          <w:p>
            <w:pPr>
              <w:spacing w:after="0"/>
              <w:rPr>
                <w:sz w:val="18"/>
                <w:szCs w:val="18"/>
                <w:color w:val="auto"/>
              </w:rPr>
            </w:pPr>
          </w:p>
        </w:tc>
        <w:tc>
          <w:tcPr>
            <w:tcW w:w="220" w:type="dxa"/>
            <w:vAlign w:val="bottom"/>
            <w:tcBorders>
              <w:top w:val="single" w:sz="8" w:color="0000EE"/>
              <w:bottom w:val="single" w:sz="8" w:color="CCEEFF"/>
            </w:tcBorders>
            <w:shd w:val="clear" w:color="auto" w:fill="CCEEFF"/>
          </w:tcPr>
          <w:p>
            <w:pPr>
              <w:spacing w:after="0"/>
              <w:rPr>
                <w:sz w:val="18"/>
                <w:szCs w:val="18"/>
                <w:color w:val="auto"/>
              </w:rPr>
            </w:pPr>
          </w:p>
        </w:tc>
        <w:tc>
          <w:tcPr>
            <w:tcW w:w="200" w:type="dxa"/>
            <w:vAlign w:val="bottom"/>
            <w:tcBorders>
              <w:top w:val="single" w:sz="8" w:color="0000EE"/>
              <w:bottom w:val="single" w:sz="8" w:color="CCEEFF"/>
            </w:tcBorders>
            <w:shd w:val="clear" w:color="auto" w:fill="CCEEFF"/>
          </w:tcPr>
          <w:p>
            <w:pPr>
              <w:spacing w:after="0"/>
              <w:rPr>
                <w:sz w:val="18"/>
                <w:szCs w:val="18"/>
                <w:color w:val="auto"/>
              </w:rPr>
            </w:pPr>
          </w:p>
        </w:tc>
        <w:tc>
          <w:tcPr>
            <w:tcW w:w="80" w:type="dxa"/>
            <w:vAlign w:val="bottom"/>
            <w:tcBorders>
              <w:top w:val="single" w:sz="8" w:color="0000EE"/>
              <w:bottom w:val="single" w:sz="8" w:color="CCEEFF"/>
            </w:tcBorders>
            <w:shd w:val="clear" w:color="auto" w:fill="CCEEFF"/>
          </w:tcPr>
          <w:p>
            <w:pPr>
              <w:spacing w:after="0"/>
              <w:rPr>
                <w:sz w:val="18"/>
                <w:szCs w:val="18"/>
                <w:color w:val="auto"/>
              </w:rPr>
            </w:pPr>
          </w:p>
        </w:tc>
        <w:tc>
          <w:tcPr>
            <w:tcW w:w="320" w:type="dxa"/>
            <w:vAlign w:val="bottom"/>
            <w:tcBorders>
              <w:top w:val="single" w:sz="8" w:color="0000EE"/>
              <w:bottom w:val="single" w:sz="8" w:color="CCEEFF"/>
            </w:tcBorders>
            <w:shd w:val="clear" w:color="auto" w:fill="CCEEFF"/>
          </w:tcPr>
          <w:p>
            <w:pPr>
              <w:spacing w:after="0"/>
              <w:rPr>
                <w:sz w:val="18"/>
                <w:szCs w:val="18"/>
                <w:color w:val="auto"/>
              </w:rPr>
            </w:pPr>
          </w:p>
        </w:tc>
        <w:tc>
          <w:tcPr>
            <w:tcW w:w="480" w:type="dxa"/>
            <w:vAlign w:val="bottom"/>
            <w:tcBorders>
              <w:top w:val="single" w:sz="8" w:color="0000EE"/>
              <w:bottom w:val="single" w:sz="8" w:color="CCEEFF"/>
            </w:tcBorders>
            <w:shd w:val="clear" w:color="auto" w:fill="CCEEFF"/>
          </w:tcPr>
          <w:p>
            <w:pPr>
              <w:spacing w:after="0"/>
              <w:rPr>
                <w:sz w:val="18"/>
                <w:szCs w:val="18"/>
                <w:color w:val="auto"/>
              </w:rPr>
            </w:pPr>
          </w:p>
        </w:tc>
        <w:tc>
          <w:tcPr>
            <w:tcW w:w="20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CCEEFF"/>
              <w:bottom w:val="single" w:sz="8" w:color="CCEEFF"/>
            </w:tcBorders>
            <w:gridSpan w:val="2"/>
            <w:shd w:val="clear" w:color="auto" w:fill="CCEEFF"/>
          </w:tcPr>
          <w:p>
            <w:pPr>
              <w:jc w:val="center"/>
              <w:ind w:right="120"/>
              <w:spacing w:after="0" w:line="196" w:lineRule="exact"/>
              <w:rPr>
                <w:sz w:val="20"/>
                <w:szCs w:val="20"/>
                <w:color w:val="auto"/>
              </w:rPr>
            </w:pPr>
            <w:r>
              <w:rPr>
                <w:rFonts w:ascii="Times New Roman" w:cs="Times New Roman" w:eastAsia="Times New Roman" w:hAnsi="Times New Roman"/>
                <w:sz w:val="18"/>
                <w:szCs w:val="18"/>
                <w:color w:val="auto"/>
                <w:w w:val="97"/>
              </w:rPr>
              <w:t>S-1/A</w:t>
            </w:r>
          </w:p>
        </w:tc>
        <w:tc>
          <w:tcPr>
            <w:tcW w:w="880" w:type="dxa"/>
            <w:vAlign w:val="bottom"/>
            <w:tcBorders>
              <w:top w:val="single" w:sz="8" w:color="CCEEFF"/>
              <w:bottom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CCEEFF"/>
              <w:bottom w:val="single" w:sz="8" w:color="CCEEFF"/>
            </w:tcBorders>
            <w:shd w:val="clear" w:color="auto" w:fill="CCEEFF"/>
          </w:tcPr>
          <w:p>
            <w:pPr>
              <w:ind w:left="80"/>
              <w:spacing w:after="0" w:line="196" w:lineRule="exact"/>
              <w:rPr>
                <w:sz w:val="20"/>
                <w:szCs w:val="20"/>
                <w:color w:val="auto"/>
              </w:rPr>
            </w:pPr>
            <w:r>
              <w:rPr>
                <w:rFonts w:ascii="Times New Roman" w:cs="Times New Roman" w:eastAsia="Times New Roman" w:hAnsi="Times New Roman"/>
                <w:sz w:val="18"/>
                <w:szCs w:val="18"/>
                <w:color w:val="auto"/>
              </w:rPr>
              <w:t>02/04/2025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5"/>
        </w:trPr>
        <w:tc>
          <w:tcPr>
            <w:tcW w:w="9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3.6</w:t>
            </w:r>
          </w:p>
        </w:tc>
        <w:tc>
          <w:tcPr>
            <w:tcW w:w="120" w:type="dxa"/>
            <w:vAlign w:val="bottom"/>
            <w:tcBorders>
              <w:top w:val="single" w:sz="8" w:color="CCEEFF"/>
            </w:tcBorders>
          </w:tcPr>
          <w:p>
            <w:pPr>
              <w:spacing w:after="0"/>
              <w:rPr>
                <w:sz w:val="15"/>
                <w:szCs w:val="15"/>
                <w:color w:val="auto"/>
              </w:rPr>
            </w:pPr>
          </w:p>
        </w:tc>
        <w:tc>
          <w:tcPr>
            <w:tcW w:w="4240" w:type="dxa"/>
            <w:vAlign w:val="bottom"/>
            <w:tcBorders>
              <w:top w:val="single" w:sz="8" w:color="CCEEFF"/>
            </w:tcBorders>
            <w:gridSpan w:val="8"/>
          </w:tcPr>
          <w:p>
            <w:pPr>
              <w:spacing w:after="0" w:line="176" w:lineRule="exact"/>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Bylaws of Brag House Holdings, Inc.</w:t>
              </w:r>
            </w:hyperlink>
          </w:p>
        </w:tc>
        <w:tc>
          <w:tcPr>
            <w:tcW w:w="32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48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900" w:type="dxa"/>
            <w:vAlign w:val="bottom"/>
            <w:tcBorders>
              <w:top w:val="single" w:sz="8" w:color="CCEEFF"/>
            </w:tcBorders>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rPr>
              <w:t>S-1</w:t>
            </w:r>
          </w:p>
        </w:tc>
        <w:tc>
          <w:tcPr>
            <w:tcW w:w="88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top w:val="single" w:sz="8" w:color="CCEEFF"/>
            </w:tcBorders>
          </w:tcPr>
          <w:p>
            <w:pPr>
              <w:spacing w:after="0"/>
              <w:rPr>
                <w:sz w:val="15"/>
                <w:szCs w:val="15"/>
                <w:color w:val="auto"/>
              </w:rPr>
            </w:pPr>
          </w:p>
        </w:tc>
        <w:tc>
          <w:tcPr>
            <w:tcW w:w="1000" w:type="dxa"/>
            <w:vAlign w:val="bottom"/>
            <w:tcBorders>
              <w:top w:val="single" w:sz="8" w:color="CCEEFF"/>
            </w:tcBorders>
          </w:tcPr>
          <w:p>
            <w:pPr>
              <w:ind w:left="80"/>
              <w:spacing w:after="0" w:line="176" w:lineRule="exact"/>
              <w:rPr>
                <w:sz w:val="20"/>
                <w:szCs w:val="20"/>
                <w:color w:val="auto"/>
              </w:rPr>
            </w:pPr>
            <w:r>
              <w:rPr>
                <w:rFonts w:ascii="Times New Roman" w:cs="Times New Roman" w:eastAsia="Times New Roman" w:hAnsi="Times New Roman"/>
                <w:sz w:val="18"/>
                <w:szCs w:val="18"/>
                <w:color w:val="auto"/>
              </w:rPr>
              <w:t>06/18/2024</w:t>
            </w:r>
          </w:p>
        </w:tc>
        <w:tc>
          <w:tcPr>
            <w:tcW w:w="100" w:type="dxa"/>
            <w:vAlign w:val="bottom"/>
            <w:tcBorders>
              <w:top w:val="single" w:sz="8" w:color="CCEEFF"/>
            </w:tcBorders>
          </w:tcPr>
          <w:p>
            <w:pPr>
              <w:spacing w:after="0"/>
              <w:rPr>
                <w:sz w:val="15"/>
                <w:szCs w:val="15"/>
                <w:color w:val="auto"/>
              </w:rPr>
            </w:pPr>
          </w:p>
        </w:tc>
        <w:tc>
          <w:tcPr>
            <w:tcW w:w="1000" w:type="dxa"/>
            <w:vAlign w:val="bottom"/>
            <w:tcBorders>
              <w:top w:val="single" w:sz="8" w:color="CCEEFF"/>
            </w:tcBorders>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CEEFF"/>
          </w:tcPr>
          <w:p>
            <w:pPr>
              <w:spacing w:after="0"/>
              <w:rPr>
                <w:sz w:val="17"/>
                <w:szCs w:val="17"/>
                <w:color w:val="auto"/>
              </w:rPr>
            </w:pPr>
          </w:p>
        </w:tc>
        <w:tc>
          <w:tcPr>
            <w:tcW w:w="5060" w:type="dxa"/>
            <w:vAlign w:val="bottom"/>
            <w:gridSpan w:val="12"/>
            <w:shd w:val="clear" w:color="auto" w:fill="CCEEFF"/>
          </w:tcPr>
          <w:p>
            <w:pPr>
              <w:spacing w:after="0" w:line="176" w:lineRule="exact"/>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Second Amended and Restated Bylaws of Brag House Holdings, Inc.</w:t>
              </w:r>
            </w:hyperlink>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7"/>
              </w:rPr>
              <w:t>S-1/A</w:t>
            </w:r>
          </w:p>
        </w:tc>
        <w:tc>
          <w:tcPr>
            <w:tcW w:w="8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02/11/2025</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175"/>
        </w:trPr>
        <w:tc>
          <w:tcPr>
            <w:tcW w:w="9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top w:val="single" w:sz="8" w:color="CCEEFF"/>
            </w:tcBorders>
          </w:tcPr>
          <w:p>
            <w:pPr>
              <w:spacing w:after="0"/>
              <w:rPr>
                <w:sz w:val="15"/>
                <w:szCs w:val="15"/>
                <w:color w:val="auto"/>
              </w:rPr>
            </w:pPr>
          </w:p>
        </w:tc>
        <w:tc>
          <w:tcPr>
            <w:tcW w:w="4240" w:type="dxa"/>
            <w:vAlign w:val="bottom"/>
            <w:tcBorders>
              <w:top w:val="single" w:sz="8" w:color="0000EE"/>
            </w:tcBorders>
            <w:gridSpan w:val="8"/>
          </w:tcPr>
          <w:p>
            <w:pPr>
              <w:spacing w:after="0" w:line="176" w:lineRule="exact"/>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Amendment to Master Services Agreement</w:t>
              </w:r>
            </w:hyperlink>
          </w:p>
        </w:tc>
        <w:tc>
          <w:tcPr>
            <w:tcW w:w="32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48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900" w:type="dxa"/>
            <w:vAlign w:val="bottom"/>
            <w:tcBorders>
              <w:top w:val="single" w:sz="8" w:color="CCEEFF"/>
            </w:tcBorders>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rPr>
              <w:t>10-Q</w:t>
            </w:r>
          </w:p>
        </w:tc>
        <w:tc>
          <w:tcPr>
            <w:tcW w:w="88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tcBorders>
              <w:top w:val="single" w:sz="8" w:color="CCEEFF"/>
            </w:tcBorders>
          </w:tcPr>
          <w:p>
            <w:pPr>
              <w:spacing w:after="0"/>
              <w:rPr>
                <w:sz w:val="15"/>
                <w:szCs w:val="15"/>
                <w:color w:val="auto"/>
              </w:rPr>
            </w:pPr>
          </w:p>
        </w:tc>
        <w:tc>
          <w:tcPr>
            <w:tcW w:w="1000" w:type="dxa"/>
            <w:vAlign w:val="bottom"/>
            <w:tcBorders>
              <w:top w:val="single" w:sz="8" w:color="CCEEFF"/>
            </w:tcBorders>
          </w:tcPr>
          <w:p>
            <w:pPr>
              <w:ind w:left="80"/>
              <w:spacing w:after="0" w:line="176" w:lineRule="exact"/>
              <w:rPr>
                <w:sz w:val="20"/>
                <w:szCs w:val="20"/>
                <w:color w:val="auto"/>
              </w:rPr>
            </w:pPr>
            <w:r>
              <w:rPr>
                <w:rFonts w:ascii="Times New Roman" w:cs="Times New Roman" w:eastAsia="Times New Roman" w:hAnsi="Times New Roman"/>
                <w:sz w:val="18"/>
                <w:szCs w:val="18"/>
                <w:color w:val="auto"/>
              </w:rPr>
              <w:t>07/18/2025</w:t>
            </w:r>
          </w:p>
        </w:tc>
        <w:tc>
          <w:tcPr>
            <w:tcW w:w="100" w:type="dxa"/>
            <w:vAlign w:val="bottom"/>
            <w:tcBorders>
              <w:top w:val="single" w:sz="8" w:color="CCEEFF"/>
            </w:tcBorders>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 </w:t>
            </w: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shd w:val="clear" w:color="auto" w:fill="CCEEFF"/>
          </w:tcPr>
          <w:p>
            <w:pPr>
              <w:spacing w:after="0"/>
              <w:rPr>
                <w:sz w:val="15"/>
                <w:szCs w:val="15"/>
                <w:color w:val="auto"/>
              </w:rPr>
            </w:pPr>
          </w:p>
        </w:tc>
        <w:tc>
          <w:tcPr>
            <w:tcW w:w="5860" w:type="dxa"/>
            <w:vAlign w:val="bottom"/>
            <w:gridSpan w:val="14"/>
            <w:shd w:val="clear" w:color="auto" w:fill="CCEEFF"/>
          </w:tcPr>
          <w:p>
            <w:pPr>
              <w:spacing w:after="0" w:line="176" w:lineRule="exact"/>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Amendment to EVEMeta Compression Software as a Software Agreement</w:t>
              </w:r>
            </w:hyperlink>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rPr>
              <w:t>10-Q</w:t>
            </w:r>
          </w:p>
        </w:tc>
        <w:tc>
          <w:tcPr>
            <w:tcW w:w="8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07/18/2025</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 </w:t>
            </w:r>
          </w:p>
        </w:tc>
      </w:tr>
      <w:tr>
        <w:trPr>
          <w:trHeight w:val="21"/>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4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5"/>
                <w:szCs w:val="15"/>
                <w:color w:val="auto"/>
              </w:rPr>
            </w:pPr>
          </w:p>
        </w:tc>
        <w:tc>
          <w:tcPr>
            <w:tcW w:w="10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0000EE"/>
              </w:rPr>
              <w:t>Certification</w:t>
            </w:r>
          </w:p>
        </w:tc>
        <w:tc>
          <w:tcPr>
            <w:tcW w:w="22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color w:val="0000EE"/>
              </w:rPr>
              <w:t>of</w:t>
            </w:r>
          </w:p>
        </w:tc>
        <w:tc>
          <w:tcPr>
            <w:tcW w:w="3000" w:type="dxa"/>
            <w:vAlign w:val="bottom"/>
            <w:gridSpan w:val="5"/>
          </w:tcPr>
          <w:p>
            <w:pPr>
              <w:ind w:left="120"/>
              <w:spacing w:after="0" w:line="176" w:lineRule="exact"/>
              <w:rPr>
                <w:sz w:val="20"/>
                <w:szCs w:val="20"/>
                <w:color w:val="auto"/>
              </w:rPr>
            </w:pPr>
            <w:r>
              <w:rPr>
                <w:rFonts w:ascii="Times New Roman" w:cs="Times New Roman" w:eastAsia="Times New Roman" w:hAnsi="Times New Roman"/>
                <w:sz w:val="18"/>
                <w:szCs w:val="18"/>
                <w:color w:val="0000EE"/>
              </w:rPr>
              <w:t>Chief  Executive  Officer  Required</w:t>
            </w:r>
          </w:p>
        </w:tc>
        <w:tc>
          <w:tcPr>
            <w:tcW w:w="3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0000EE"/>
              </w:rPr>
              <w:t>by</w:t>
            </w:r>
          </w:p>
        </w:tc>
        <w:tc>
          <w:tcPr>
            <w:tcW w:w="500" w:type="dxa"/>
            <w:vAlign w:val="bottom"/>
            <w:gridSpan w:val="3"/>
          </w:tcPr>
          <w:p>
            <w:pPr>
              <w:ind w:left="20"/>
              <w:spacing w:after="0" w:line="176" w:lineRule="exact"/>
              <w:rPr>
                <w:sz w:val="20"/>
                <w:szCs w:val="20"/>
                <w:color w:val="auto"/>
              </w:rPr>
            </w:pPr>
            <w:r>
              <w:rPr>
                <w:rFonts w:ascii="Times New Roman" w:cs="Times New Roman" w:eastAsia="Times New Roman" w:hAnsi="Times New Roman"/>
                <w:sz w:val="18"/>
                <w:szCs w:val="18"/>
                <w:color w:val="0000EE"/>
              </w:rPr>
              <w:t>Rule</w:t>
            </w:r>
          </w:p>
        </w:tc>
        <w:tc>
          <w:tcPr>
            <w:tcW w:w="80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0000EE"/>
              </w:rPr>
              <w:t>13a-14(a)</w:t>
            </w:r>
          </w:p>
        </w:tc>
        <w:tc>
          <w:tcPr>
            <w:tcW w:w="1240" w:type="dxa"/>
            <w:vAlign w:val="bottom"/>
            <w:gridSpan w:val="5"/>
          </w:tcPr>
          <w:p>
            <w:pPr>
              <w:ind w:left="60"/>
              <w:spacing w:after="0" w:line="176" w:lineRule="exact"/>
              <w:rPr>
                <w:sz w:val="20"/>
                <w:szCs w:val="20"/>
                <w:color w:val="auto"/>
              </w:rPr>
            </w:pPr>
            <w:r>
              <w:rPr>
                <w:rFonts w:ascii="Times New Roman" w:cs="Times New Roman" w:eastAsia="Times New Roman" w:hAnsi="Times New Roman"/>
                <w:sz w:val="18"/>
                <w:szCs w:val="18"/>
                <w:color w:val="0000EE"/>
              </w:rPr>
              <w:t>of</w:t>
            </w: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60" w:type="dxa"/>
            <w:vAlign w:val="bottom"/>
            <w:tcBorders>
              <w:top w:val="single" w:sz="8" w:color="0000EE"/>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the Securities Exchange Act of 1934, as amended, as Adopted Pursuant to Section</w:t>
            </w:r>
          </w:p>
        </w:tc>
        <w:tc>
          <w:tcPr>
            <w:tcW w:w="1040" w:type="dxa"/>
            <w:vAlign w:val="bottom"/>
            <w:gridSpan w:val="4"/>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302 of the Sarbanes-Oxley Act of 2002</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1"/>
              </w:rPr>
              <w:t>X</w:t>
            </w:r>
          </w:p>
        </w:tc>
      </w:tr>
      <w:tr>
        <w:trPr>
          <w:trHeight w:val="21"/>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31.2</w:t>
            </w:r>
          </w:p>
        </w:tc>
        <w:tc>
          <w:tcPr>
            <w:tcW w:w="1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w:t>
            </w:r>
          </w:p>
        </w:tc>
        <w:tc>
          <w:tcPr>
            <w:tcW w:w="2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of</w:t>
            </w:r>
          </w:p>
        </w:tc>
        <w:tc>
          <w:tcPr>
            <w:tcW w:w="3000" w:type="dxa"/>
            <w:vAlign w:val="bottom"/>
            <w:gridSpan w:val="5"/>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0000EE"/>
              </w:rPr>
              <w:t>the  Chief  Financial  Officer  Required</w:t>
            </w:r>
          </w:p>
        </w:tc>
        <w:tc>
          <w:tcPr>
            <w:tcW w:w="32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0000EE"/>
              </w:rPr>
              <w:t>by</w:t>
            </w:r>
          </w:p>
        </w:tc>
        <w:tc>
          <w:tcPr>
            <w:tcW w:w="500" w:type="dxa"/>
            <w:vAlign w:val="bottom"/>
            <w:gridSpan w:val="3"/>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0000EE"/>
              </w:rPr>
              <w:t>Rule</w:t>
            </w:r>
          </w:p>
        </w:tc>
        <w:tc>
          <w:tcPr>
            <w:tcW w:w="800" w:type="dxa"/>
            <w:vAlign w:val="bottom"/>
            <w:gridSpan w:val="2"/>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0000EE"/>
              </w:rPr>
              <w:t>13a-14(a)</w:t>
            </w:r>
          </w:p>
        </w:tc>
        <w:tc>
          <w:tcPr>
            <w:tcW w:w="1240" w:type="dxa"/>
            <w:vAlign w:val="bottom"/>
            <w:gridSpan w:val="5"/>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of</w:t>
            </w: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96"/>
        </w:trPr>
        <w:tc>
          <w:tcPr>
            <w:tcW w:w="9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6060" w:type="dxa"/>
            <w:vAlign w:val="bottom"/>
            <w:tcBorders>
              <w:top w:val="single" w:sz="8" w:color="0000EE"/>
              <w:bottom w:val="single" w:sz="8" w:color="0000EE"/>
            </w:tcBorders>
            <w:gridSpan w:val="15"/>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the Securities Exchange Act of 1934, as amended, as Adopted Pursuant to Section</w:t>
            </w:r>
          </w:p>
        </w:tc>
        <w:tc>
          <w:tcPr>
            <w:tcW w:w="1040" w:type="dxa"/>
            <w:vAlign w:val="bottom"/>
            <w:tcBorders>
              <w:top w:val="single" w:sz="8" w:color="CCEEFF"/>
              <w:bottom w:val="single" w:sz="8" w:color="CCEEFF"/>
            </w:tcBorders>
            <w:gridSpan w:val="4"/>
            <w:shd w:val="clear" w:color="auto" w:fill="CCEEFF"/>
          </w:tcPr>
          <w:p>
            <w:pPr>
              <w:spacing w:after="0"/>
              <w:rPr>
                <w:sz w:val="17"/>
                <w:szCs w:val="17"/>
                <w:color w:val="auto"/>
              </w:rPr>
            </w:pPr>
          </w:p>
        </w:tc>
        <w:tc>
          <w:tcPr>
            <w:tcW w:w="8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196"/>
        </w:trPr>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40" w:type="dxa"/>
            <w:vAlign w:val="bottom"/>
            <w:gridSpan w:val="8"/>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302 of the Sarbanes-Oxley Act of 2002</w:t>
            </w: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1"/>
              </w:rPr>
              <w:t>X</w:t>
            </w:r>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4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15"/>
                <w:szCs w:val="15"/>
                <w:color w:val="auto"/>
              </w:rPr>
            </w:pPr>
          </w:p>
        </w:tc>
        <w:tc>
          <w:tcPr>
            <w:tcW w:w="7100" w:type="dxa"/>
            <w:vAlign w:val="bottom"/>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Chief Executive Officer Pursuant to 18 U.S.C. Section 1350, as</w:t>
            </w: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60" w:type="dxa"/>
            <w:vAlign w:val="bottom"/>
            <w:tcBorders>
              <w:top w:val="single" w:sz="8" w:color="0000EE"/>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 xml:space="preserve">Adopted Pursuant to Section 906 of the Sarbanes-Oxley Act of 2002 </w:t>
            </w:r>
            <w:r>
              <w:rPr>
                <w:rFonts w:ascii="Times New Roman" w:cs="Times New Roman" w:eastAsia="Times New Roman" w:hAnsi="Times New Roman"/>
                <w:sz w:val="18"/>
                <w:szCs w:val="18"/>
                <w:b w:val="1"/>
                <w:bCs w:val="1"/>
                <w:color w:val="0000EE"/>
                <w:w w:val="99"/>
              </w:rPr>
              <w:t>#</w:t>
            </w:r>
          </w:p>
        </w:tc>
        <w:tc>
          <w:tcPr>
            <w:tcW w:w="32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1"/>
              </w:rPr>
              <w:t>X</w:t>
            </w:r>
          </w:p>
        </w:tc>
      </w:tr>
      <w:tr>
        <w:trPr>
          <w:trHeight w:val="21"/>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6"/>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32.2</w:t>
            </w:r>
          </w:p>
        </w:tc>
        <w:tc>
          <w:tcPr>
            <w:tcW w:w="120" w:type="dxa"/>
            <w:vAlign w:val="bottom"/>
            <w:shd w:val="clear" w:color="auto" w:fill="CCEEFF"/>
          </w:tcPr>
          <w:p>
            <w:pPr>
              <w:spacing w:after="0"/>
              <w:rPr>
                <w:sz w:val="15"/>
                <w:szCs w:val="15"/>
                <w:color w:val="auto"/>
              </w:rPr>
            </w:pPr>
          </w:p>
        </w:tc>
        <w:tc>
          <w:tcPr>
            <w:tcW w:w="710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Chief Financial Officer Pursuant to 18 U.S.C. Section 1350, as</w:t>
            </w: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221"/>
        </w:trPr>
        <w:tc>
          <w:tcPr>
            <w:tcW w:w="9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5060" w:type="dxa"/>
            <w:vAlign w:val="bottom"/>
            <w:tcBorders>
              <w:top w:val="single" w:sz="8" w:color="0000EE"/>
              <w:bottom w:val="single" w:sz="8" w:color="0000EE"/>
            </w:tcBorders>
            <w:gridSpan w:val="1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9"/>
              </w:rPr>
              <w:t>Adopted Pursuant to Section 906 of the Sarbanes-Oxley Act of 2002 #</w:t>
            </w:r>
          </w:p>
        </w:tc>
        <w:tc>
          <w:tcPr>
            <w:tcW w:w="320" w:type="dxa"/>
            <w:vAlign w:val="bottom"/>
            <w:tcBorders>
              <w:top w:val="single" w:sz="8" w:color="0000EE"/>
              <w:bottom w:val="single" w:sz="8" w:color="CCEEFF"/>
            </w:tcBorders>
            <w:shd w:val="clear" w:color="auto" w:fill="CCEEFF"/>
          </w:tcPr>
          <w:p>
            <w:pPr>
              <w:spacing w:after="0"/>
              <w:rPr>
                <w:sz w:val="18"/>
                <w:szCs w:val="18"/>
                <w:color w:val="auto"/>
              </w:rPr>
            </w:pPr>
          </w:p>
        </w:tc>
        <w:tc>
          <w:tcPr>
            <w:tcW w:w="480" w:type="dxa"/>
            <w:vAlign w:val="bottom"/>
            <w:tcBorders>
              <w:top w:val="single" w:sz="8" w:color="0000EE"/>
              <w:bottom w:val="single" w:sz="8" w:color="CCEEFF"/>
            </w:tcBorders>
            <w:shd w:val="clear" w:color="auto" w:fill="CCEEFF"/>
          </w:tcPr>
          <w:p>
            <w:pPr>
              <w:spacing w:after="0"/>
              <w:rPr>
                <w:sz w:val="18"/>
                <w:szCs w:val="18"/>
                <w:color w:val="auto"/>
              </w:rPr>
            </w:pPr>
          </w:p>
        </w:tc>
        <w:tc>
          <w:tcPr>
            <w:tcW w:w="20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CCEEFF"/>
              <w:bottom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1"/>
              </w:rPr>
              <w:t>X</w:t>
            </w:r>
          </w:p>
        </w:tc>
      </w:tr>
      <w:tr>
        <w:trPr>
          <w:trHeight w:val="216"/>
        </w:trPr>
        <w:tc>
          <w:tcPr>
            <w:tcW w:w="104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4240" w:type="dxa"/>
            <w:vAlign w:val="bottom"/>
            <w:tcBorders>
              <w:top w:val="single" w:sz="8" w:color="CCEEFF"/>
            </w:tcBorders>
            <w:gridSpan w:val="8"/>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3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1"/>
              </w:rPr>
              <w:t>X</w:t>
            </w:r>
          </w:p>
        </w:tc>
      </w:tr>
      <w:tr>
        <w:trPr>
          <w:trHeight w:val="216"/>
        </w:trPr>
        <w:tc>
          <w:tcPr>
            <w:tcW w:w="1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424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X</w:t>
            </w:r>
          </w:p>
        </w:tc>
      </w:tr>
      <w:tr>
        <w:trPr>
          <w:trHeight w:val="216"/>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4560" w:type="dxa"/>
            <w:vAlign w:val="bottom"/>
            <w:gridSpan w:val="9"/>
          </w:tcPr>
          <w:p>
            <w:pPr>
              <w:spacing w:after="0"/>
              <w:rPr>
                <w:sz w:val="20"/>
                <w:szCs w:val="20"/>
                <w:color w:val="auto"/>
              </w:rPr>
            </w:pPr>
            <w:r>
              <w:rPr>
                <w:rFonts w:ascii="Times New Roman" w:cs="Times New Roman" w:eastAsia="Times New Roman" w:hAnsi="Times New Roman"/>
                <w:sz w:val="18"/>
                <w:szCs w:val="18"/>
                <w:color w:val="auto"/>
                <w:w w:val="99"/>
              </w:rPr>
              <w:t>XBRL Taxonomy Extension Calculation Linkbase Document+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r>
      <w:tr>
        <w:trPr>
          <w:trHeight w:val="216"/>
        </w:trPr>
        <w:tc>
          <w:tcPr>
            <w:tcW w:w="1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456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X</w:t>
            </w:r>
          </w:p>
        </w:tc>
      </w:tr>
      <w:tr>
        <w:trPr>
          <w:trHeight w:val="216"/>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42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r>
      <w:tr>
        <w:trPr>
          <w:trHeight w:val="216"/>
        </w:trPr>
        <w:tc>
          <w:tcPr>
            <w:tcW w:w="1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506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X</w:t>
            </w:r>
          </w:p>
        </w:tc>
      </w:tr>
      <w:tr>
        <w:trPr>
          <w:trHeight w:val="198"/>
        </w:trPr>
        <w:tc>
          <w:tcPr>
            <w:tcW w:w="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7"/>
                <w:szCs w:val="17"/>
                <w:color w:val="auto"/>
              </w:rPr>
            </w:pPr>
          </w:p>
        </w:tc>
        <w:tc>
          <w:tcPr>
            <w:tcW w:w="7100" w:type="dxa"/>
            <w:vAlign w:val="bottom"/>
            <w:gridSpan w:val="19"/>
          </w:tcPr>
          <w:p>
            <w:pPr>
              <w:spacing w:after="0" w:line="198" w:lineRule="exact"/>
              <w:rPr>
                <w:sz w:val="20"/>
                <w:szCs w:val="20"/>
                <w:color w:val="auto"/>
              </w:rPr>
            </w:pPr>
            <w:r>
              <w:rPr>
                <w:rFonts w:ascii="Times New Roman" w:cs="Times New Roman" w:eastAsia="Times New Roman" w:hAnsi="Times New Roman"/>
                <w:sz w:val="18"/>
                <w:szCs w:val="18"/>
                <w:color w:val="auto"/>
              </w:rPr>
              <w:t>Cover Page Interactive Data File - The cover page iXBRL tags are embedded</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4"/>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r>
    </w:tbl>
    <w:p>
      <w:pPr>
        <w:spacing w:after="0" w:line="198" w:lineRule="exact"/>
        <w:rPr>
          <w:sz w:val="20"/>
          <w:szCs w:val="20"/>
          <w:color w:val="auto"/>
        </w:rPr>
      </w:pPr>
    </w:p>
    <w:p>
      <w:pPr>
        <w:jc w:val="both"/>
        <w:ind w:left="340" w:hanging="332"/>
        <w:spacing w:after="0" w:line="266" w:lineRule="auto"/>
        <w:tabs>
          <w:tab w:leader="none" w:pos="3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certification is being furnished and shall not be deemed “filed” with the SEC for purposes of Section 18 of the Exchange Act, or otherwise subject to the liability of that section, and shall not be deemed to be incorporated by reference into any filing under the Securities Act or the Exchange Act, except to the extent that the registrant specifically incorporates it by reference.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320" w:type="dxa"/>
            <w:vAlign w:val="bottom"/>
          </w:tcPr>
          <w:p>
            <w:pPr>
              <w:ind w:left="676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Lavell Juan Malloy, II</w:t>
            </w:r>
          </w:p>
        </w:tc>
      </w:tr>
      <w:tr>
        <w:trPr>
          <w:trHeight w:val="198"/>
        </w:trPr>
        <w:tc>
          <w:tcPr>
            <w:tcW w:w="7320" w:type="dxa"/>
            <w:vAlign w:val="bottom"/>
          </w:tcPr>
          <w:p>
            <w:pPr>
              <w:ind w:left="676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Lavell Juan Malloy, II</w:t>
            </w:r>
          </w:p>
        </w:tc>
      </w:tr>
      <w:tr>
        <w:trPr>
          <w:trHeight w:val="214"/>
        </w:trPr>
        <w:tc>
          <w:tcPr>
            <w:tcW w:w="7320" w:type="dxa"/>
            <w:vAlign w:val="bottom"/>
          </w:tcPr>
          <w:p>
            <w:pPr>
              <w:ind w:left="676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Dated: August 15, 2025</w:t>
            </w:r>
          </w:p>
        </w:tc>
        <w:tc>
          <w:tcPr>
            <w:tcW w:w="39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439"/>
        </w:trPr>
        <w:tc>
          <w:tcPr>
            <w:tcW w:w="7320" w:type="dxa"/>
            <w:vAlign w:val="bottom"/>
          </w:tcPr>
          <w:p>
            <w:pPr>
              <w:ind w:left="676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Chetan Jindal</w:t>
            </w:r>
          </w:p>
        </w:tc>
      </w:tr>
      <w:tr>
        <w:trPr>
          <w:trHeight w:val="198"/>
        </w:trPr>
        <w:tc>
          <w:tcPr>
            <w:tcW w:w="7320" w:type="dxa"/>
            <w:vAlign w:val="bottom"/>
          </w:tcPr>
          <w:p>
            <w:pPr>
              <w:ind w:left="676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Chetan Jindal</w:t>
            </w:r>
          </w:p>
        </w:tc>
      </w:tr>
      <w:tr>
        <w:trPr>
          <w:trHeight w:val="214"/>
        </w:trPr>
        <w:tc>
          <w:tcPr>
            <w:tcW w:w="7320" w:type="dxa"/>
            <w:vAlign w:val="bottom"/>
          </w:tcPr>
          <w:p>
            <w:pPr>
              <w:ind w:left="676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Dated: August 15, 2025</w:t>
            </w:r>
          </w:p>
        </w:tc>
        <w:tc>
          <w:tcPr>
            <w:tcW w:w="39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r>
      <w:tr>
        <w:trPr>
          <w:trHeight w:val="655"/>
        </w:trPr>
        <w:tc>
          <w:tcPr>
            <w:tcW w:w="7320" w:type="dxa"/>
            <w:vAlign w:val="bottom"/>
            <w:tcBorders>
              <w:bottom w:val="single" w:sz="8" w:color="auto"/>
            </w:tcBorders>
          </w:tcPr>
          <w:p>
            <w:pPr>
              <w:ind w:left="5540"/>
              <w:spacing w:after="0"/>
              <w:rPr>
                <w:sz w:val="20"/>
                <w:szCs w:val="20"/>
                <w:color w:val="auto"/>
              </w:rPr>
            </w:pPr>
            <w:r>
              <w:rPr>
                <w:rFonts w:ascii="Times New Roman" w:cs="Times New Roman" w:eastAsia="Times New Roman" w:hAnsi="Times New Roman"/>
                <w:sz w:val="18"/>
                <w:szCs w:val="18"/>
                <w:color w:val="auto"/>
              </w:rPr>
              <w:t>42</w:t>
            </w: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22"/>
          <w:szCs w:val="22"/>
          <w:b w:val="1"/>
          <w:bCs w:val="1"/>
          <w:color w:val="auto"/>
        </w:rPr>
        <w:t>Exhibit 31.1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Lavell Juan Malloy, II, certify that:</w:t>
      </w:r>
    </w:p>
    <w:p>
      <w:pPr>
        <w:spacing w:after="0" w:line="225"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on June 30, 2025 of Brag House Holdings,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Brag House Holdings, Inc.’s most recent evaluation of internal control over financial reporting, to the registrant’s auditors and the audit committee of the registrant’s board of directors (of persons performing the equivalent functions):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small business issuer’s internal control over financial reporting.</w:t>
      </w:r>
    </w:p>
    <w:p>
      <w:pPr>
        <w:spacing w:after="0" w:line="160"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August 15,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Lavell Juan Malloy,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18415</wp:posOffset>
            </wp:positionV>
            <wp:extent cx="25628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8">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3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Lavell Juan Malloy, II</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08"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22"/>
          <w:szCs w:val="22"/>
          <w:b w:val="1"/>
          <w:bCs w:val="1"/>
          <w:color w:val="auto"/>
        </w:rPr>
        <w:t>Exhibit 31.2</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Chetan Jindal, certify that:</w:t>
      </w:r>
    </w:p>
    <w:p>
      <w:pPr>
        <w:spacing w:after="0" w:line="225"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on June 30, 2025 of Brag House Holdings,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Brag House Holding, Inc.’s most recent evaluation of internal control over financial reporting, to the registrant’s auditors and the audit committee of the registrant’s board of directors (of persons performing the equivalent functions):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small business issuer’s internal control over financial reporting.</w:t>
      </w:r>
    </w:p>
    <w:p>
      <w:pPr>
        <w:spacing w:after="0" w:line="160"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August 15,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Chetan Jindal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18415</wp:posOffset>
            </wp:positionV>
            <wp:extent cx="25628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9">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Chetan Jindal</w:t>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08" w:right="339" w:bottom="1440" w:gutter="0" w:footer="0" w:header="0"/>
        </w:sectPr>
      </w:pPr>
    </w:p>
    <w:bookmarkStart w:id="47" w:name="page48"/>
    <w:bookmarkEnd w:id="47"/>
    <w:p>
      <w:pPr>
        <w:ind w:left="10120"/>
        <w:spacing w:after="0"/>
        <w:rPr>
          <w:sz w:val="20"/>
          <w:szCs w:val="20"/>
          <w:color w:val="auto"/>
        </w:rPr>
      </w:pPr>
      <w:r>
        <w:rPr>
          <w:rFonts w:ascii="Times New Roman" w:cs="Times New Roman" w:eastAsia="Times New Roman" w:hAnsi="Times New Roman"/>
          <w:sz w:val="21"/>
          <w:szCs w:val="21"/>
          <w:b w:val="1"/>
          <w:bCs w:val="1"/>
          <w:color w:val="auto"/>
        </w:rPr>
        <w:t>Exhibit 32.1</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Brag House Holdings, Inc. (the “Company”) on Form 10-Q for the period ended June 30, 2025 (the “Report”) I, Lavell Juan Malloy, II, Chief Executive Officer of the Company, certify, pursuant to 18 USC Section 1350, as adopted pursuant to Section 906 of the Sarbanes-Oxley Act of 2002, that to the best of my knowledge and belief:</w:t>
      </w:r>
    </w:p>
    <w:p>
      <w:pPr>
        <w:spacing w:after="0" w:line="176" w:lineRule="exact"/>
        <w:rPr>
          <w:sz w:val="20"/>
          <w:szCs w:val="20"/>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0"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August 15,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Lavell Juan Malloy,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18415</wp:posOffset>
            </wp:positionV>
            <wp:extent cx="25628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0">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Lavell Juan Malloy, II</w:t>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ectPr>
          <w:pgSz w:w="11900" w:h="16838" w:orient="portrait"/>
          <w:cols w:equalWidth="0" w:num="1">
            <w:col w:w="11240"/>
          </w:cols>
          <w:pgMar w:left="320" w:top="108"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22"/>
          <w:szCs w:val="22"/>
          <w:b w:val="1"/>
          <w:bCs w:val="1"/>
          <w:color w:val="auto"/>
        </w:rPr>
        <w:t>Exhibit 32.2</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Brag House Holdings, Inc. (the “Company”) on Form 10-Q for the period ended June 30, 2025 (the “Report”) I, Chetan Jindal, Chief Financial Officer of the Company, certify, pursuant to 18 USC Section 1350, as adopted pursuant to Section 906 of the Sarbanes-Oxley Act of 2002, that to the best of my knowledge and belief:</w:t>
      </w:r>
    </w:p>
    <w:p>
      <w:pPr>
        <w:spacing w:after="0" w:line="176" w:lineRule="exact"/>
        <w:rPr>
          <w:sz w:val="20"/>
          <w:szCs w:val="20"/>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0"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August 15,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Chetan Jindal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18415</wp:posOffset>
            </wp:positionV>
            <wp:extent cx="25628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1">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Chetan Jindal</w:t>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lvl w:ilvl="1">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67" Type="http://schemas.openxmlformats.org/officeDocument/2006/relationships/image" Target="media/image51.png"/><Relationship Id="rId68" Type="http://schemas.openxmlformats.org/officeDocument/2006/relationships/image" Target="media/image52.png"/><Relationship Id="rId69" Type="http://schemas.openxmlformats.org/officeDocument/2006/relationships/image" Target="media/image53.png"/><Relationship Id="rId70" Type="http://schemas.openxmlformats.org/officeDocument/2006/relationships/image" Target="media/image54.png"/><Relationship Id="rId71" Type="http://schemas.openxmlformats.org/officeDocument/2006/relationships/image" Target="media/image55.png"/><Relationship Id="rId58" Type="http://schemas.openxmlformats.org/officeDocument/2006/relationships/hyperlink" Target="http://www.sec.gov/Archives/edgar/data/1903595/000121390024053492/ea020493001ex3-1_brag.htm" TargetMode="External"/><Relationship Id="rId59" Type="http://schemas.openxmlformats.org/officeDocument/2006/relationships/hyperlink" Target="http://www.sec.gov/Archives/edgar/data/1903595/000121390024060509/ea020493002ex3-2_braghouse.htm" TargetMode="External"/><Relationship Id="rId60" Type="http://schemas.openxmlformats.org/officeDocument/2006/relationships/hyperlink" Target="http://www.sec.gov/Archives/edgar/data/1903595/000121390024053492/ea020493001ex3-2_brag.htm" TargetMode="External"/><Relationship Id="rId61" Type="http://schemas.openxmlformats.org/officeDocument/2006/relationships/hyperlink" Target="http://www.sec.gov/Archives/edgar/data/1903595/000121390024053492/ea020493001ex3-3_brag.htm" TargetMode="External"/><Relationship Id="rId62" Type="http://schemas.openxmlformats.org/officeDocument/2006/relationships/hyperlink" Target="http://www.sec.gov/Archives/edgar/data/1903595/000121390025009640/ea020493008ex3-5_brag.htm" TargetMode="External"/><Relationship Id="rId63" Type="http://schemas.openxmlformats.org/officeDocument/2006/relationships/hyperlink" Target="http://www.sec.gov/Archives/edgar/data/1903595/000121390024053492/ea020493001ex3-4_brag.htm" TargetMode="External"/><Relationship Id="rId64" Type="http://schemas.openxmlformats.org/officeDocument/2006/relationships/hyperlink" Target="http://www.sec.gov/Archives/edgar/data/1903595/000121390025012154/ea020493010ex3-7_brag.htm" TargetMode="External"/><Relationship Id="rId65" Type="http://schemas.openxmlformats.org/officeDocument/2006/relationships/hyperlink" Target="https://www.sec.gov/Archives/edgar/data/1903595/000121390025065688/ea024857201ex10-2_brag.htm" TargetMode="External"/><Relationship Id="rId66" Type="http://schemas.openxmlformats.org/officeDocument/2006/relationships/hyperlink" Target="https://www.sec.gov/Archives/edgar/data/1903595/000121390025065688/ea024857201ex10-3_brag.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2025-08-15T16:30:28Z</dcterms:created>
  <dcterms:modified xsi:type="dcterms:W3CDTF">2025-08-15T16:30:28Z</dcterms:modified>
</cp:coreProperties>
</file>