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26, 2026</w:t>
      </w:r>
    </w:p>
    <w:p>
      <w:pPr>
        <w:spacing w:after="0" w:line="31" w:lineRule="exact"/>
        <w:rPr>
          <w:sz w:val="24"/>
          <w:szCs w:val="24"/>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87-4032622</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45 Park Street</w:t>
            </w:r>
          </w:p>
        </w:tc>
        <w:tc>
          <w:tcPr>
            <w:tcW w:w="5500" w:type="dxa"/>
            <w:vAlign w:val="bottom"/>
          </w:tcPr>
          <w:p>
            <w:pPr>
              <w:spacing w:after="0"/>
              <w:rPr>
                <w:sz w:val="24"/>
                <w:szCs w:val="24"/>
                <w:color w:val="auto"/>
              </w:rPr>
            </w:pPr>
          </w:p>
        </w:tc>
      </w:tr>
      <w:tr>
        <w:trPr>
          <w:trHeight w:val="245"/>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Montclair, NJ</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07042</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2024 OMNIBUS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titles of the plan)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Lavell Juan Malloy II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 Park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Montclair, NJ 07042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(413) 398-2845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Joseph M. Lucosky, Esq.</w:t>
      </w:r>
    </w:p>
    <w:p>
      <w:pPr>
        <w:spacing w:after="0" w:line="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Steven A. Lipstein, Esq.</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Lucosky Brookman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 Wood Avenue South, 5th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Woodbridge, New Jersey 08830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(732) 395-4400</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for the purpose of registering an additional 100,000,000 shares of common stock of Brag House Holdings, Inc. (the “Registrant” or the “Company”), reserved for issuance that may be issued to participants under the Registrant’s Amended and Restated 2024 Omnibus Incentive Plan (the “Stock Incentive Plan”). Upon the effectiveness of this Registration Statement, an aggregate of 100,000,000 shares of Common Stock will be registered for issuance from time to time under the Stock Incentive Plan. Prior to the date hereof, 1,197,112 shares have already been registered on Form S-8 filed on July 18, 2025 (File No. 333-288786) (the “July 2025 Registration Statement”). All 1,197,112 shares registered under the July 2025 Registration Statement have been issued.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General Instruction E. to Form S-8, the Registrant incorporates by reference into this Registration Statement the contents of the July 2025 Registration Statement, including all exhibits filed therewith or incorporated therein by reference.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Registration Statement includes a reoffer prospectus (the “Reoffer Prospectus”) prepared in accordance with the requirements of Part I of Form S-3 (in accordance with the General Instruction C to Form S-8). The Reoffer Prospectus covers reoffers and resales of shares of our common stock that have been or will be acquired by certain of our officers and directors (collectively, the “Selling Stockholders”) which may be deemed to be “control securities” and/or “restricted securities” (as such terms are defined in General Instruction C to Form S-8) of the Company. The Reoffer Prospectus relates to the resale of 3,548,024 shares of our common stock, which have been or may be issued pursuant to the Stock Incentive Plan consisting of (i) 923,091 shares previously issued, or issuable upon exercise of options previously granted, under the Stock Incentive Plan that were not registered pursuant to the Company’s July 2025 Registration Statement and (ii) 2,624,933 shares issued between January 1, 2026 and the date hereof pursuant to the Stock Incentive Plan’s evergreen provision for the fiscal year ended December 31, 2026.</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Reoffer Prospectus does not contain all of the information included in the Registration Statement, certain items of which are contained in schedules and exhibits to the Registration Statement, as permitted by the rules and regulations of the SEC. Statements contained in this Reoffer Prospectus as to the contents of any agreement, instrument or other document referred to are not necessarily complete. With respect to each such agreement, instrument or other document filed as an exhibit to the Registration Statement, we refer you to the exhibit for a more complete description of the matter involved, and each such statement shall be deemed qualified in its entirety by this reference.</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Brag House Holdings, Inc. has prepared this Registration Statement in accordance with the requirements of Form S-8 under the Securities Act of 1933, as amended (the “Securities Act”), to register an additional 100,000,000 shares of Common Stock pursuant to the Stock Incentive Plan and to file a prospectus, prepared in accordance with the requirements of Part I of Form S-3 and, pursuant to General Instruction C of Form S-8, to be used for reoffers and resales of Common Stock acquired by persons to be named therein upon the exercise of options and restricted stock awards granted under the Stock Incentive Plan.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on Form S-8 (the “Registration Statement”) in accordance with the provisions of Rule 428 under the Securities Act of 1933 (the “Securities Act”) and the introductory note to Part I of Form S-8.</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Note to Part I on Form S-8, the documents containing the information specified in Part I of this Registration Statement will be sent or given to plan participants as specified by Rule 428(b)(1) of the Securities Act. Such documents are not required to be filed, and are not filed, with the United States Securities and Exchange Commission either as part of this Registration Statement or as prospectuses or prospectus supplements pursuant to Rule 424 of the Securities Act. These documents and the documents incorporated by reference in this Registration Statement pursuant to Item 3 of Part II of this Form S-8, taken together, constitute a prospectus that meets the requirements of Section 10(a) of the Securities Act.</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REOFFER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3,548,024 shares of Common Stock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2024 Omnibus Incentive Plan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relates to the resale of 3,548,024 shares (the “Shares”) of common stock, par value $0.0001 per share (the “Common Stock”), of Brag House Holdings, Inc., which may be offered and sold from time to time by certain stockholders of the Company (the “Selling Stockholders”) who have acquired or will acquire such Shares in connection with the exercise of stock options granted, and with stock or other awards made, and with the purchase of stock under the Amended and Restated 2024 Omnibus Incentive Plan (the “Stock Incentive Plan”).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persons who are issued such Shares may include our directors, officers, employees and consultants, certain of whom may be considered our “affiliates”. Such persons may, but are not required to, sell the Shares they acquire pursuant to this prospectus. See “</w:t>
      </w:r>
      <w:r>
        <w:rPr>
          <w:rFonts w:ascii="Times New Roman" w:cs="Times New Roman" w:eastAsia="Times New Roman" w:hAnsi="Times New Roman"/>
          <w:sz w:val="18"/>
          <w:szCs w:val="18"/>
          <w:i w:val="1"/>
          <w:iCs w:val="1"/>
          <w:color w:val="auto"/>
        </w:rPr>
        <w:t>Selling Stockholders</w:t>
      </w:r>
      <w:r>
        <w:rPr>
          <w:rFonts w:ascii="Times New Roman" w:cs="Times New Roman" w:eastAsia="Times New Roman" w:hAnsi="Times New Roman"/>
          <w:sz w:val="18"/>
          <w:szCs w:val="18"/>
          <w:color w:val="auto"/>
        </w:rPr>
        <w:t>” on page 7 of this prospectus. Our Common Stock is listed on The Nasdaq Capital Market under the symbol “TBH.” On May 22, 2026, the closing price of the Common Stock on The Nasdaq Capital Market was $0.745 per share.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not receive any of the proceeds from sales of the Shares by any of the Selling Stockholders. The Shares may be offered from time to time by any or all of the Selling Stockholders through ordinary brokerage transactions, in negotiated transactions or in other transactions, at such prices as such Selling Stockholder may determine, which may relate to market prices prevailing at the time of sale or be a negotiated price.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Sales may be made through brokers or to dealers, who are expected to receive customary commissions or discounts. We are paying all expenses of registration incurred in connection with this offering, but the Selling Stockholders will pay all brokerage commissions and other selling expenses.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Selling Stockholders and participating brokers and dealers may be deemed to be “underwriters” within the meaning of the Securities Act, in which event any profit on the sale of shares of those Selling Stockholders and any commissions or discounts received by those brokers or dealers may be deemed to be underwriting compensation under the Securities Act.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“RISK FACTORS” BEGINNING ON PAGE 6 OF THIS PROSPECTUS FOR A DISCUSSION OF CERTAIN RISKS AND OTHER FACTORS THAT YOU SHOULD CONSIDER BEFORE PURCHASING OUR COMMON STOCK.</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Neither the SEC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May 26, 2026.</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58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5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6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 No.</w:t>
            </w:r>
          </w:p>
        </w:tc>
      </w:tr>
      <w:tr>
        <w:trPr>
          <w:trHeight w:val="196"/>
        </w:trPr>
        <w:tc>
          <w:tcPr>
            <w:tcW w:w="28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780" w:type="dxa"/>
            <w:vAlign w:val="bottom"/>
            <w:tcBorders>
              <w:bottom w:val="single" w:sz="8" w:color="CCEEFF"/>
            </w:tcBorders>
            <w:shd w:val="clear" w:color="auto" w:fill="CCEEFF"/>
          </w:tcPr>
          <w:p>
            <w:pPr>
              <w:spacing w:after="0"/>
              <w:rPr>
                <w:sz w:val="17"/>
                <w:szCs w:val="17"/>
                <w:color w:val="auto"/>
              </w:rPr>
            </w:pPr>
          </w:p>
        </w:tc>
        <w:tc>
          <w:tcPr>
            <w:tcW w:w="66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5"/>
        </w:trPr>
        <w:tc>
          <w:tcPr>
            <w:tcW w:w="366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w w:val="99"/>
              </w:rPr>
              <w:t>Incorporation of Certain Documents By Reference</w:t>
            </w:r>
          </w:p>
        </w:tc>
        <w:tc>
          <w:tcPr>
            <w:tcW w:w="668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2"/>
              </w:rPr>
              <w:t>iii</w:t>
            </w:r>
          </w:p>
        </w:tc>
      </w:tr>
      <w:tr>
        <w:trPr>
          <w:trHeight w:val="21"/>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on Forward Looking Statements</w:t>
            </w:r>
          </w:p>
        </w:tc>
        <w:tc>
          <w:tcPr>
            <w:tcW w:w="66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176"/>
        </w:trPr>
        <w:tc>
          <w:tcPr>
            <w:tcW w:w="272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940" w:type="dxa"/>
            <w:vAlign w:val="bottom"/>
            <w:tcBorders>
              <w:top w:val="single" w:sz="8" w:color="CCEEFF"/>
            </w:tcBorders>
            <w:gridSpan w:val="2"/>
          </w:tcPr>
          <w:p>
            <w:pPr>
              <w:spacing w:after="0"/>
              <w:rPr>
                <w:sz w:val="15"/>
                <w:szCs w:val="15"/>
                <w:color w:val="auto"/>
              </w:rPr>
            </w:pPr>
          </w:p>
        </w:tc>
        <w:tc>
          <w:tcPr>
            <w:tcW w:w="7580" w:type="dxa"/>
            <w:vAlign w:val="bottom"/>
            <w:tcBorders>
              <w:top w:val="single" w:sz="8" w:color="CCEEFF"/>
            </w:tcBorders>
            <w:gridSpan w:val="2"/>
          </w:tcPr>
          <w:p>
            <w:pPr>
              <w:jc w:val="center"/>
              <w:ind w:left="659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2740" w:type="dxa"/>
            <w:vAlign w:val="bottom"/>
            <w:tcBorders>
              <w:bottom w:val="single" w:sz="8" w:color="CCEEFF"/>
            </w:tcBorders>
            <w:gridSpan w:val="8"/>
            <w:shd w:val="clear" w:color="auto" w:fill="CCEEFF"/>
          </w:tcPr>
          <w:p>
            <w:pPr>
              <w:spacing w:after="0"/>
              <w:rPr>
                <w:sz w:val="17"/>
                <w:szCs w:val="17"/>
                <w:color w:val="auto"/>
              </w:rPr>
            </w:pPr>
          </w:p>
        </w:tc>
        <w:tc>
          <w:tcPr>
            <w:tcW w:w="7580" w:type="dxa"/>
            <w:vAlign w:val="bottom"/>
            <w:tcBorders>
              <w:bottom w:val="single" w:sz="8" w:color="CCEEFF"/>
            </w:tcBorders>
            <w:gridSpan w:val="2"/>
            <w:shd w:val="clear" w:color="auto" w:fill="CCEEFF"/>
          </w:tcPr>
          <w:p>
            <w:pPr>
              <w:jc w:val="center"/>
              <w:ind w:left="659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6"/>
        </w:trPr>
        <w:tc>
          <w:tcPr>
            <w:tcW w:w="366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7580" w:type="dxa"/>
            <w:vAlign w:val="bottom"/>
            <w:gridSpan w:val="2"/>
          </w:tcPr>
          <w:p>
            <w:pPr>
              <w:jc w:val="center"/>
              <w:ind w:left="659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Stockholders</w:t>
            </w:r>
          </w:p>
        </w:tc>
        <w:tc>
          <w:tcPr>
            <w:tcW w:w="7580" w:type="dxa"/>
            <w:vAlign w:val="bottom"/>
            <w:gridSpan w:val="2"/>
            <w:shd w:val="clear" w:color="auto" w:fill="CCEEFF"/>
          </w:tcPr>
          <w:p>
            <w:pPr>
              <w:jc w:val="center"/>
              <w:ind w:left="659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175"/>
        </w:trPr>
        <w:tc>
          <w:tcPr>
            <w:tcW w:w="150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160" w:type="dxa"/>
            <w:vAlign w:val="bottom"/>
            <w:tcBorders>
              <w:top w:val="single" w:sz="8" w:color="CCEEFF"/>
            </w:tcBorders>
            <w:gridSpan w:val="4"/>
          </w:tcPr>
          <w:p>
            <w:pPr>
              <w:spacing w:after="0"/>
              <w:rPr>
                <w:sz w:val="15"/>
                <w:szCs w:val="15"/>
                <w:color w:val="auto"/>
              </w:rPr>
            </w:pPr>
          </w:p>
        </w:tc>
        <w:tc>
          <w:tcPr>
            <w:tcW w:w="7580" w:type="dxa"/>
            <w:vAlign w:val="bottom"/>
            <w:tcBorders>
              <w:top w:val="single" w:sz="8" w:color="CCEEFF"/>
            </w:tcBorders>
            <w:gridSpan w:val="2"/>
          </w:tcPr>
          <w:p>
            <w:pPr>
              <w:jc w:val="center"/>
              <w:ind w:left="6590"/>
              <w:spacing w:after="0" w:line="176" w:lineRule="exact"/>
              <w:rPr>
                <w:sz w:val="20"/>
                <w:szCs w:val="20"/>
                <w:color w:val="auto"/>
              </w:rPr>
            </w:pPr>
            <w:r>
              <w:rPr>
                <w:rFonts w:ascii="Times New Roman" w:cs="Times New Roman" w:eastAsia="Times New Roman" w:hAnsi="Times New Roman"/>
                <w:sz w:val="18"/>
                <w:szCs w:val="18"/>
                <w:color w:val="auto"/>
              </w:rPr>
              <w:t>9</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2640" w:type="dxa"/>
            <w:vAlign w:val="bottom"/>
            <w:tcBorders>
              <w:bottom w:val="single" w:sz="8" w:color="CCEEFF"/>
            </w:tcBorders>
            <w:gridSpan w:val="7"/>
            <w:shd w:val="clear" w:color="auto" w:fill="CCEEFF"/>
          </w:tcPr>
          <w:p>
            <w:pPr>
              <w:spacing w:after="0"/>
              <w:rPr>
                <w:sz w:val="17"/>
                <w:szCs w:val="17"/>
                <w:color w:val="auto"/>
              </w:rPr>
            </w:pPr>
          </w:p>
        </w:tc>
        <w:tc>
          <w:tcPr>
            <w:tcW w:w="7580" w:type="dxa"/>
            <w:vAlign w:val="bottom"/>
            <w:tcBorders>
              <w:bottom w:val="single" w:sz="8" w:color="CCEEFF"/>
            </w:tcBorders>
            <w:gridSpan w:val="2"/>
            <w:shd w:val="clear" w:color="auto" w:fill="CCEEFF"/>
          </w:tcPr>
          <w:p>
            <w:pPr>
              <w:jc w:val="center"/>
              <w:ind w:left="659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56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3100" w:type="dxa"/>
            <w:vAlign w:val="bottom"/>
            <w:gridSpan w:val="9"/>
          </w:tcPr>
          <w:p>
            <w:pPr>
              <w:spacing w:after="0"/>
              <w:rPr>
                <w:sz w:val="15"/>
                <w:szCs w:val="15"/>
                <w:color w:val="auto"/>
              </w:rPr>
            </w:pPr>
          </w:p>
        </w:tc>
        <w:tc>
          <w:tcPr>
            <w:tcW w:w="7580" w:type="dxa"/>
            <w:vAlign w:val="bottom"/>
            <w:gridSpan w:val="2"/>
          </w:tcPr>
          <w:p>
            <w:pPr>
              <w:jc w:val="center"/>
              <w:ind w:left="659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bl>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or any prospectus supplement. We have not authorized any person to give any information or to make any representations other than those contained or incorporated by reference in this prospectus, and, if given or made, you must not rely upon such information or representations as having been authorized. This prospectus does not constitute an offer to sell or the solicitation of an offer to buy any securities other than our shares of common stock described in this prospectus or an offer to sell or the solicitation to buy such securities in any circumstances in which such offer or solicitation is unlawful. You should not assume that the information we have included in this prospectus is accurate as of any date other than the date of this prospectus or that any information we have incorporated by reference is accurate as of any date other than the date of the document incorporated by reference regardless of the time of delivery of this prospectus or of any securities registered hereunder.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the information requirements of the Securities Exchange Act of 1934, as amended (the “Exchange Act”), and, in accordance therewith, files reports, proxy statements and other information with the SEC. We are required to file electronic versions of those materials with the SEC through the SEC’s EDGAR system. The SEC maintains an Internet site at http://www.sec.gov, which contains reports, proxy and information statements and other information regarding registrants that file electronically with the SEC. You can read and copy the reports, proxy statements and other information filed by the Company with the SEC at such Internet site.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constitutes part of a Registration Statement on Form S-8 filed on the date hereof (herein, together with all amendments and exhibits, referred to as the “Registration Statement”) by the Company with the SEC under the Securities Act. This prospectus does not contain all of the information set forth in the Registration Statement, certain parts of which we have omitted, in accordance with the rules and regulations of the SEC. You should refer to the full Registration Statement for further information with respect to the Company and our Common Stock.</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Statements contained herein concerning the provisions of any contract, agreement or other document are not necessarily complete, and in each instance, reference is made to the copy of such contract, agreement or other document filed as an exhibit to the Registration Statement or otherwise filed with the SEC. Each such statement is qualified in its entirety by such reference. Copies of the Registration Statement together with exhibits may be inspected at the offices of the SEC as indicated above without charge and copies thereof may be obtained therefrom upon payment of a prescribed fee.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person is authorized to give any information or to make any representations, other than those contained in this prospectus, in connection with the offering described herein, and, if given or made, such information or representations must not be relied upon as having been authorized by the Company or any Selling Stockholder. This prospectus does not constitute an offer to sell, or a solicitation of an offer to buy, nor shall there be any sale of these securities by any person in any jurisdiction in which it is unlawful for such person to make such offer, solicitation or sale. Neither the delivery of this prospectus nor any sale made hereunder shall under any circumstances create an implication that the information contained herein is correct as of any time subsequent to the date 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“incorporating by reference” in this prospectus certain documents we file with the SEC, which means that we can disclose important information to you by referring you to those documents. The information in the documents incorporated by reference is considered to be part of this prospectus.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 We have filed or may file the following documents with the SEC, and they are incorporated herein by reference as of their respective dates of filing:</w:t>
      </w:r>
    </w:p>
    <w:p>
      <w:pPr>
        <w:spacing w:after="0" w:line="187" w:lineRule="exact"/>
        <w:rPr>
          <w:sz w:val="20"/>
          <w:szCs w:val="20"/>
          <w:color w:val="auto"/>
        </w:rPr>
      </w:pPr>
    </w:p>
    <w:p>
      <w:pPr>
        <w:ind w:left="980" w:right="20" w:hanging="324"/>
        <w:spacing w:after="0" w:line="282" w:lineRule="auto"/>
        <w:tabs>
          <w:tab w:leader="none" w:pos="980"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auto"/>
          </w:rPr>
          <w:t xml:space="preserve">Our Annual Report on Form 10-K for the year ended December 31, 2025, filed with the SEC on </w:t>
        </w:r>
        <w:r>
          <w:rPr>
            <w:rFonts w:ascii="Times New Roman" w:cs="Times New Roman" w:eastAsia="Times New Roman" w:hAnsi="Times New Roman"/>
            <w:sz w:val="18"/>
            <w:szCs w:val="18"/>
            <w:u w:val="single" w:color="auto"/>
            <w:color w:val="0000EE"/>
          </w:rPr>
          <w:t>March 31, 2026</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April 22,</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2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15, 2026;</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23">
        <w:r>
          <w:rPr>
            <w:rFonts w:ascii="Times New Roman" w:cs="Times New Roman" w:eastAsia="Times New Roman" w:hAnsi="Times New Roman"/>
            <w:sz w:val="18"/>
            <w:szCs w:val="18"/>
            <w:u w:val="single" w:color="auto"/>
            <w:color w:val="0000EE"/>
          </w:rPr>
          <w:t>January 9, 2026</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 xml:space="preserve">February 11, </w:t>
        </w:r>
      </w:hyperlink>
      <w:hyperlink r:id="rId25">
        <w:r>
          <w:rPr>
            <w:rFonts w:ascii="Times New Roman" w:cs="Times New Roman" w:eastAsia="Times New Roman" w:hAnsi="Times New Roman"/>
            <w:sz w:val="18"/>
            <w:szCs w:val="18"/>
            <w:u w:val="single" w:color="auto"/>
            <w:color w:val="auto"/>
          </w:rPr>
          <w:t>2026</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March 20, 2026</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March 24, 2026</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April 1, 2026</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April 13,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9">
        <w:r>
          <w:rPr>
            <w:rFonts w:ascii="Times New Roman" w:cs="Times New Roman" w:eastAsia="Times New Roman" w:hAnsi="Times New Roman"/>
            <w:sz w:val="18"/>
            <w:szCs w:val="18"/>
            <w:u w:val="single" w:color="auto"/>
            <w:color w:val="0000EE"/>
          </w:rPr>
          <w:t xml:space="preserve">May 8, 2026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30">
        <w:r>
          <w:rPr>
            <w:rFonts w:ascii="Times New Roman" w:cs="Times New Roman" w:eastAsia="Times New Roman" w:hAnsi="Times New Roman"/>
            <w:sz w:val="18"/>
            <w:szCs w:val="18"/>
            <w:u w:val="single" w:color="auto"/>
            <w:color w:val="0000EE"/>
          </w:rPr>
          <w:t xml:space="preserve">May 15, 2026 </w:t>
        </w:r>
      </w:hyperlink>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each case, except for information contained therein which is furnished rather than 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75" w:lineRule="exact"/>
        <w:rPr>
          <w:rFonts w:ascii="Times New Roman" w:cs="Times New Roman" w:eastAsia="Times New Roman" w:hAnsi="Times New Roman"/>
          <w:sz w:val="18"/>
          <w:szCs w:val="18"/>
          <w:color w:val="0000EE"/>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31">
        <w:r>
          <w:rPr>
            <w:rFonts w:ascii="Times New Roman" w:cs="Times New Roman" w:eastAsia="Times New Roman" w:hAnsi="Times New Roman"/>
            <w:sz w:val="18"/>
            <w:szCs w:val="18"/>
            <w:u w:val="single" w:color="auto"/>
            <w:color w:val="0000EE"/>
          </w:rPr>
          <w:t>Form 8-A12B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February 14, 2025.</w:t>
      </w:r>
    </w:p>
    <w:p>
      <w:pPr>
        <w:spacing w:after="0" w:line="225" w:lineRule="exact"/>
        <w:rPr>
          <w:rFonts w:ascii="Times New Roman" w:cs="Times New Roman" w:eastAsia="Times New Roman" w:hAnsi="Times New Roman"/>
          <w:sz w:val="18"/>
          <w:szCs w:val="18"/>
          <w:color w:val="0000EE"/>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pacing w:after="0" w:line="200" w:lineRule="exact"/>
        <w:rPr>
          <w:rFonts w:ascii="Times New Roman" w:cs="Times New Roman" w:eastAsia="Times New Roman" w:hAnsi="Times New Roman"/>
          <w:sz w:val="18"/>
          <w:szCs w:val="18"/>
          <w:color w:val="0000EE"/>
        </w:rPr>
      </w:pPr>
    </w:p>
    <w:p>
      <w:pPr>
        <w:spacing w:after="0" w:line="208"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NOTE ON FORWARD 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Forward-looking statements give our current expectations or forecasts of future events. You can identify these statements by the fact that they do not relate strictly to historical or current facts. Forward-looking statements involve risks and uncertainties and include statements regarding, among other things, our projected revenue growth and profitability, our growth strategies and opportunity, anticipated trends in our market and our anticipated needs for working capital. They are generally identifiable by use of the words “may,” “will,” “should,” “anticipate,” “estimate,” “plans,” “potential,” “projects,” “continuing,” “ongoing,” “expects,” “management believes,” “we believe,” “we intend” or the negative of these words or other variations on these words or comparable terminology. In particular, these include statements relating to future actions, prospective products, market acceptance, future performance or results of current and anticipated products, sales efforts, expenses, and the outcome of contingencies such as legal proceedings and financial results.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Examples of forward-looking statements in this prospectus include, but are not limited to, our expectations regarding our business strategy, business prospects, operating results, operating expenses, working capital, liquidity and capital expenditure requirements. Important assumptions relating to the forward-looking statements include, among others, assumptions regarding demand for our products, the cost, terms and availability of components, pricing levels, the timing and cost of capital expenditures, competitive conditions and general economic conditions. These statements are based on our management’s expectations, beliefs and assumptions concerning future events affecting us, which in turn are based on currently available information. These assumptions could prove inaccurate. Although we believe that the estimates and projections reflected in the forward-looking statements are reasonable, our expectations may prove to be incorrect.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the results and events anticipated or implied by such forward-looking statements include, but are not limited to:</w:t>
      </w:r>
    </w:p>
    <w:p>
      <w:pPr>
        <w:spacing w:after="0" w:line="162"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strength and stability of general economic conditions and of the gaming industry in the United States and globally;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and acceptance of, our services and the games that we make available for our tournaments and other experiences, as well as online gaming in general;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environment, including adoption of technologies, services and products that compete with our own;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consistent revenue;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our business plan;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 of streaming services, licensing fees, network infrastructure, hosting and maintenance;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business and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and effective internal control;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financing sources and an appropriate level of debt on terms favorable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market our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risks associated with, and the outcome of any known or unknown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protect our existing intellectual property protections, including patents, trademarks and copyrights;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enter into new licensing agreements with game publishers and owners;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 their application or interpretation, and our ability to make estimates and the assumptions underlying the estimates, which could have an effect on earnings;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the credit markets;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heading “Risk Factors” and elsewhere in our annual report on Form 10-K for the year ended December 31, 2025 incorporated by reference into this prospectus.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prospectus are based on assumptions management believes are reasonable. However, due to the uncertainties associated with forward-looking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227965</wp:posOffset>
            </wp:positionV>
            <wp:extent cx="7127875" cy="6613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27875" cy="6613525"/>
                    </a:xfrm>
                    <a:prstGeom prst="rect">
                      <a:avLst/>
                    </a:prstGeom>
                    <a:noFill/>
                  </pic:spPr>
                </pic:pic>
              </a:graphicData>
            </a:graphic>
          </wp:anchor>
        </w:drawing>
        <w:t>PROSPECTUS SUMMARY</w:t>
      </w:r>
    </w:p>
    <w:p>
      <w:pPr>
        <w:spacing w:after="0" w:line="22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i w:val="1"/>
          <w:iCs w:val="1"/>
          <w:color w:val="auto"/>
        </w:rPr>
        <w:t>This summary highlights information about our company, this offering and information contained in greater detail in other parts of this prospectus or incorporated by reference into this prospectus from our filings with the SEC listed in the section titled “Information Incorporated by Reference.” Because it is only a summary, it does not contain all of the information that you should consider before purchasing our securities in this offering and it is qualified in its entirety by, and should be read in conjunction with, the more detailed information appearing elsewhere or incorporated by reference into this prospectus. You should read the entire prospectus, the registration statement of which this prospectus is a part, and the information incorporated by reference into this prospectus in their entirety, including the “Risk Factors” and our financial statements and the related notes incorporated by reference into this prospectus, before purchasing our securities in this offering. Except as otherwise indicated herein or as the context otherwise requires, references in this prospectus to “Brag House” “the Company,” “we,” “us” and “our” refer to Brag House Holdings, Inc.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Brag House is a mission-driven organization that utilizes a diversified business strategy to operate a media-tech platform designed for casual college gamers to drive community-driven gaming experiences anchored in the college sports culture, while creating authentic pathways for brands to connect with our Gen Z audience. We view our platform as a media-tech engine intended to revolutionize advertising for the Gen Z demographic. According to PricewaterhouseCoopers (“PwC”), digital formats are expected to account for 80% of overall global advertising revenue in 2029 (up from 72% in 2024), with new technologies including AI and hyper-personalization expected to drive this growth. We believe Brag House is positioned to capture this demand by utilizing data insights to offer brands high-value, personalized access to our community.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Brag House is a Delaware corporation formed in December 2021. Our founders developed the idea for the Brag House platform in 2018, when our Chief Executive Officer, Lavell Juan Malloy, II, and our Chief Operating Officer, Daniel Leibovich, recognized a need in the gaming industry for a gaming platform focused specifically on the casual college gamer, and formed our indirect wholly-owned subsidiary, Brag House, Inc. At that time, our co-founders believed that a significant amount of industry resources were focused predominantly on competitive and professional gamers, much to the detriment of casual gamers, generally, and casual college gamers, specifically. In the years ensuing, we have maintained our focus on the casual college gaming segment and believe we are developing a first-of-its-kind digital platform for casual college gamers to compete, support their team, banter in a safe environment and win prizes. Our vertically integrated approach combines gamer recruitment, facilitation of community engagement and content creation, live-stream production and tournament host activities.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believe that we are creating a new sports entertainment medium for Gen Z to engage through gaming by merging gameplay with school spirit in Brag House and student-led activations and tournaments tied to college rivalries with Brag House features and capabilities such as our Bragging Functionality, Loyalty Tokens reward system, and brand-sponsored content and prizes. The growth of our platform since our inception is encouraging, and we believe we are strongly positioned to capitalize on a large portion of the available gaming market. We have experienced strong community growth since we launched through May 1, 2026, reaching nearly 1,400,000 video views of our Brag House Content on video platforms including X (formerly known as Twitter), TikTok, Meta, Twitch and YouTube. From inception through May 1, 2026, the Company’s video views increased by 131% year-over-year. We have also generated nearly 9.0 million impressions and video views since inception through May 1, 2026. From 2020 through 2025, the Company’s impressions increased by 46% year-over-year. The Company expects that its video views and impressions will continue to grow in 2026, potentially at a rate comparable to or exceeding prior years; however, actual results could differ materially from these expectations. Additionally, since 2022, Brag House spectators who viewed live streams remained on the platform for 19 minutes per live stream across over 300,000 live views, which represents nearly a 1.75X increase compared to the industry benchmark of 11 minutes. We believe that our digital properties, including our website, provide an authentic and differentiated channel for advertisers to access the Gen Z demographic at scale. We believe that this differentiation stems from our platform’s design as a media-tech engine built for active engagement, not just passive consumption. Furthermore, we believe that live, in-person activations are a critical source of connection that augments our core digital experience. These live events, such as on-campus tournaments and activations tied to major college rivalries, allow us to bring our digital community together physically. We believe that this “digital-plus-physical” dynamic, coupled with our personalized experiential framework, offers an authentic and differentiated channel for advertisers, making the otherwise elusive Gen Z and Millennial demographic accessible at scale through multiple touchpoints.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576" w:right="459" w:bottom="1440" w:gutter="0" w:footer="0" w:header="0"/>
        </w:sectPr>
      </w:pPr>
    </w:p>
    <w:bookmarkStart w:id="9" w:name="page10"/>
    <w:bookmarkEnd w:id="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270510</wp:posOffset>
            </wp:positionH>
            <wp:positionV relativeFrom="page">
              <wp:posOffset>227965</wp:posOffset>
            </wp:positionV>
            <wp:extent cx="7007860" cy="57905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007860" cy="5790565"/>
                    </a:xfrm>
                    <a:prstGeom prst="rect">
                      <a:avLst/>
                    </a:prstGeom>
                    <a:noFill/>
                  </pic:spPr>
                </pic:pic>
              </a:graphicData>
            </a:graphic>
          </wp:anchor>
        </w:drawing>
        <w:t>We are focused on creating an organic and inclusive community that facilitates personalized experiences. We believe that our experiential framework offers a more authentic and differentiated channel for advertisers to utilize, making the otherwise elusive demographic of gamers and streamers accessible at scale to ourselves and our partners. We do this by offering brand sponsors and advertisers an exclusive marketing channel to reach Gen Z and Millennial gamers and creators, while offering players ways to access exclusive tournaments and programming.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May 2025, we launched the first activation under our strategic partnership with Learfield Communications, LLC (“Learfield”). This activation was for students and alumni of the University of Florida, one of Learfield’s media rights properties.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2025, we executed the second activation under our strategic partnership with Learfield, expanding on the success of our initial May 2025 event. This activation was conducted virtually and designed to engage students and alumni through a digital tournament centered around EA College Football 26, following the game’s national release. The event incorporated university-branded content and featured participation from student-athletes, further aligning with our Name, Image, and Likeness (NIL) engagement strategy.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these activations demonstrated our ability to scale digital experiences across collegiate communities on our platform at the intersection of gaming and college sports, as well as through universities’ assets with pricing and value delivery defined through a structured commercial model, all of which reinforces our commercial model for integrating sponsorship, branded content and messaging, and fan engagement.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further believe that this partnership positions us to scale across Learfield’s college network of nearly 200 universities and gain access to their media rights and assets that will enable both physical and digital activations and drive sponsorship revenue and brand engagement opportunities, while giving us access to extensive datasets across diverse college campuses as we evolve into a scalable data insights revenue model tailored to college-aged Gen Z gamers.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we are advancing a data monetization strategy. The goal is to develop a proprietary machine learning-based software-as-a-service (“SaaS”) platform designed to offer anonymized predictive data insights into Gen Z behavior for brand clients to create enhanced, personalized and effective marketing campaigns, which will validate our marketing and data strategy for reaching college-aged Gen Z gamers. We began development of this platform in March 2025 and expect to have a beta version ready by the third quarter of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were formed as a Delaware corporation in December 2021.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Brag House, Inc. (“BHI”), the Company’s wholly owned indirect subsidiary and the entity through which our operations are primarily conducted, was formed as a Delaware corporation in February 2018.</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11, 2021, Brag House, Ltd. (“BHL”) was registered in the United Kingdom. Their principal offices are located at 7 - 9 Swallow Street, London W1B 4DE, United Kingdom.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16, 2021, BHL acquired all of the 10,000,000 issued and outstanding BHI shares held by BHI shareholders on a one for 14.07 basis (rounded to the nearest whole number) in exchange for 140,700,000 ordinary shares of £0.0001 in BHL, making BHI a wholly owned subsidiary of BHL (“UK Reorganization”).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540" w:top="580" w:right="559" w:bottom="1440" w:gutter="0" w:footer="0" w:header="0"/>
        </w:sectPr>
      </w:pPr>
    </w:p>
    <w:bookmarkStart w:id="10" w:name="page11"/>
    <w:bookmarkEnd w:id="1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228600</wp:posOffset>
            </wp:positionV>
            <wp:extent cx="7127875" cy="6339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127875" cy="6339205"/>
                    </a:xfrm>
                    <a:prstGeom prst="rect">
                      <a:avLst/>
                    </a:prstGeom>
                    <a:noFill/>
                  </pic:spPr>
                </pic:pic>
              </a:graphicData>
            </a:graphic>
          </wp:anchor>
        </w:drawing>
        <w:t>Following the UK Reorganization, the board of directors of BHL determined that it was in the best interests of BHL and its shareholders that an initial public offering in the United States and concurrent listing on The Nasdaq Stock Market (“Nasdaq”) be pursued. To effect that proposed initial public offering and listing on Nasdaq, in December 2021, the Company was formed. On February 8, 2022, the Company approved a reorganization, in which the shareholders of BHL would exchange their ordinary shares and preference shares of BHL for a proportionate number of common and preferred shares in the Company on a 21 to 1 basis (“U.S. Reorganization”). Immediately following the U.S. Reorganization, BHL became the wholly-owned subsidiary of the Company, and BHI became the indirect wholly-owned subsidiary of the Company.</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anticipate that BHL will be wound down and dissolved as soon as reasonably practicable.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effected a 1 for 5.1287 consolidation of our issued and outstanding Common Stock and Preferred Stock on June 14, 2024, (the “Original Reverse Split”). On October 11, 2024, we canceled the Original Reverse Split and filed an amendment to our certificate of incorporation, as amended, with the Secretary of State of the State of Delaware to effect a 1 for 2.43615 consolidation of our issued and outstanding Common Stock and Preferred Stock (the “Reverse Split”). Any future redemption of stock options or warrants for options or warrants that were granted prior to October 11, 2024 will also reflect the Reverse Split. The Company began the process to pay for the Fractional Shares, which total $85.81, to its shareholders that were affected by the Reverse Split. This prospectus gives effect to the cancellation of the Original Reverse Split and the effectiveness of the Reverse Split. Except where otherwise indicated, all share and per share data in this prospectus have been retroactively restated to reflect the Reverse Split.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25, 2025, the Company filed a certificate of designation with the Secretary of State of the State of Delaware to designate 15,000 shares of the available 25,000,000 shares of Preferred Stock as Series B Preferred Stock. On July 30, 2025, the Company closed its PIPE Offering and issued all 15,000 shares of Series B Preferred Stock.</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October 9, 2025, Brag House Merger Sub, Inc. (“Merger Sub” or “BHMS”), a wholly owned subsidiary of the Company, was formed as a Delaware corporation.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45 Park Street, Montclair, NJ 07042 and our telephone number is 413-398-2845. Our website address is </w:t>
      </w:r>
      <w:r>
        <w:rPr>
          <w:rFonts w:ascii="Times New Roman" w:cs="Times New Roman" w:eastAsia="Times New Roman" w:hAnsi="Times New Roman"/>
          <w:sz w:val="18"/>
          <w:szCs w:val="18"/>
          <w:i w:val="1"/>
          <w:iCs w:val="1"/>
          <w:color w:val="auto"/>
        </w:rPr>
        <w:t>www.braghouse.com</w:t>
      </w:r>
      <w:r>
        <w:rPr>
          <w:rFonts w:ascii="Times New Roman" w:cs="Times New Roman" w:eastAsia="Times New Roman" w:hAnsi="Times New Roman"/>
          <w:sz w:val="18"/>
          <w:szCs w:val="18"/>
          <w:color w:val="auto"/>
        </w:rPr>
        <w:t xml:space="preserve">. The investor relations portion of our website is available at </w:t>
      </w:r>
      <w:r>
        <w:rPr>
          <w:rFonts w:ascii="Times New Roman" w:cs="Times New Roman" w:eastAsia="Times New Roman" w:hAnsi="Times New Roman"/>
          <w:sz w:val="18"/>
          <w:szCs w:val="18"/>
          <w:i w:val="1"/>
          <w:iCs w:val="1"/>
          <w:color w:val="auto"/>
        </w:rPr>
        <w:t>corp.braghouse.com</w:t>
      </w:r>
      <w:r>
        <w:rPr>
          <w:rFonts w:ascii="Times New Roman" w:cs="Times New Roman" w:eastAsia="Times New Roman" w:hAnsi="Times New Roman"/>
          <w:sz w:val="18"/>
          <w:szCs w:val="18"/>
          <w:color w:val="auto"/>
        </w:rPr>
        <w:t>. The references to our website addresses do not constitute incorporation by reference of the information contained at or available through our websites, and you should not consider it to be a part of this prospectus. We have included our website addresses in this prospectus solely as inactive textual references.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of Chief Financial Officer and Appointment of Acting Chief Financial Officer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Effective February 5, 2026, Chetan Jindal resigned from his position as Chief Financial Officer of the Company. The Company agreed to payments totaling $75,000 in accordance with the separation agreement. In connection with Mr. Jindal’s resignation, the Company entered into a Settlement and Release Agreement, dated March 13, 2026, with Mr. Jindal (the “Settlement Agreement”). Under the Settlement Agreement, the parties exchanged mutual releases of all claims arising out of or relating to Mr. Jindal’s employment and the termination thereof, and the Company agreed to pay Mr. Jindal $75,000 in total consideration, payable in installments over a 90-day period following the effective date of the agreement, subject to acceleration upon receipt by the Company of certain financing proceeds. As of May 26, 2026, the Company made payments totaling $50,000 towards the balance of $75,000 and $25,000 remained outstanding.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February 5, 2026, the Brag House Board appointed Rene Rodriguez as the Company’s Acting Chief Financial Officer. Mr. Rodriguez, age 42, has served as the Company’s Controller since March 1, 2025, and prior to that as an independent contractor providing finance and accounting services to the Company from June 1, 2022 until February 28,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580"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228600</wp:posOffset>
            </wp:positionV>
            <wp:extent cx="7127875" cy="8396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127875" cy="8396605"/>
                    </a:xfrm>
                    <a:prstGeom prst="rect">
                      <a:avLst/>
                    </a:prstGeom>
                    <a:noFill/>
                  </pic:spPr>
                </pic:pic>
              </a:graphicData>
            </a:graphic>
          </wp:anchor>
        </w:drawing>
        <w:t>Nasdaq Deficiency - Minimum Bid Requirement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6, 2026, the Company received a deficiency letter (the “Notice”) from the Listing Qualifications Department of The Nasdaq Stock Market LLC (“Nasdaq”) notifying the Company that, based upon the closing bid price of the Company’s Common Stock for the last 30 consecutive business days, the Company is not currently in compliance with the requirement to maintain a minimum bid price of $1.00 per share for continued listing on The Nasdaq Capital Market, as set forth in Nasdaq Listing Rule 5550(a)(2) (the “Minimum Bid Requirement”).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Notice has no immediate effect on the continued listing status of the Common Stock on The Nasdaq Capital Market, and, therefore, the Company’s listing remains fully effective.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is provided a compliance period of 180 calendar days from the date of the Notice, or until July 6, 2026, to regain compliance with the Minimum Bid Requirement. To regain compliance, the closing bid price of the Common Stock must meet or exceed $1.00 per share for a minimum of ten consecutive business days prior to July 6, 2026.</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is not in compliance with the Minimum Bid Requirement by July 6, 2026, the Company may be afforded a second 180 calendar day compliance period. To qualify for this additional compliance period, the Company will be required to meet the continued listing requirement for market value of publicly held shares and all other initial listing standards for The Nasdaq Capital Market, with the exception of the Minimum Bid Price requirement.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the Common Stock and will evaluate available options to regain compliance with the Minimum Bid Requirement. However, there can be no assurance that the Company will regain compliance with the Minimum Bid Requirement during the 180 day compliance period, secure a second period of 180 days to regain compliance, or maintain compliance with the other Nasdaq listing requirements. If the Company does not regain compliance within the allotted compliance period, including any extensions that Nasdaq grants, Nasdaq will provide notice that the Common Stock will be subject to delisting. The Company would then be entitled to appeal that determination to a Nasdaq hearings panel.</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the date of this Registration Statement, the deficiency has not been cured.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and Shareholder Approval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12, 2025, the Company entered into the Merger Agreement, by and among the Company, Merger Sub and House of Doge. Upon the terms and subject to the conditions set forth in the Merger Agreement, among other things, Merger Sub will merge with and into House of Doge, resulting in House of Doge as the surviving corporation of the Merger and a direct, wholly owned subsidiary of the Company. In connection with the consummation of the Merger, the Company will be renamed “House of Doge Inc.” The Merger Agreement provides that the Company’s current officers will continue their function as senior management personnel of the Company in roles, functions and other management capacities with respect to the Brag House Legacy Business, which House of Doge agreed will operate or continue to operate as a division or out of a subsidiary of House of Doge after the Closing. We expect, however, that the Brag House Legacy Business will continue to operate out of the Company’s existing Brag House, Inc. subsidiary, and that the Company’s current Chief Executive Officer, Lavell Juan Malloy, II, will continue to serve as Chief Executive Officer of such subsidiary.</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exchange for the House of Doge Common Stock and restricted stock units, the Company will issue shares of the Brag House Common Stock and a new class of preferred stock (that will be convertible into shares of common stock) and restricted stock units constituting an aggregate of approximately 663,250,176 shares of its common stock, on a fully diluted basis, to holders of House of Doge’s shares of common stock and restricted stock units, provided that any shares of common stock that House of Doge issues to non-affiliates in arms-length commercial business transactions it negotiates in good faith in the ordinary course of business prior to the Effective Time will also be exchanged in the Merger and, therefore, cause the number of shares of common stock that the Company issues in the Merger to proportionately increase. House of Doge will also issue 9,000,000 shares of its common stock to Lavell Juan Malloy, II, the Company’s Chief Executive Officer, and certain other individuals or representatives of the Company to be identified by the Company prior to the Closing. Upon consummation of the Merger, House of Doge will become the majority shareholder of the Company. Following the Merger, the Company’s common stock shall continue to be listed on Nasdaq. The Merger is subject to customary closing conditions, including regulatory approvals, filing of required registration statements, shareholder consent, and completion of due diligence.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26, 2025, the Company entered into amendment No. 1 to the Merger Agreement. On February 2, 2026, the Company entered into amendment No. 2 to the Merger Agreement and on March 26, 2026, the Company entered into amendment No. 3 to modify certain provisions of the Merger Agreement, including the extension of the termination date of the agreement to May 29, 2026. On May 11, 2026, the Company entered into amendment No. 4 to extend the termination of the agreement to June 30, 2026.</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Registration Statement, the Merger had not yet closed. The Company expects the Merger to be finalized by June 30, 2026, pending satisfaction of all closing conditions.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792" w:right="459" w:bottom="1440" w:gutter="0" w:footer="0" w:header="0"/>
        </w:sectPr>
      </w:pPr>
    </w:p>
    <w:bookmarkStart w:id="12" w:name="page13"/>
    <w:bookmarkEnd w:id="1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228600</wp:posOffset>
            </wp:positionV>
            <wp:extent cx="7127875" cy="3184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27875" cy="3184525"/>
                    </a:xfrm>
                    <a:prstGeom prst="rect">
                      <a:avLst/>
                    </a:prstGeom>
                    <a:noFill/>
                  </pic:spPr>
                </pic:pic>
              </a:graphicData>
            </a:graphic>
          </wp:anchor>
        </w:drawing>
        <w:t>On April 7, 2026, the Company held its special meeting of stockholders to vote on the Merger Agreement and related matters and a quorum for the transaction of business was present in person virtually or represented by proxy. The Company’s stockholders voted on various proposals, which are described in more detail in the Registration Statement on Form S-4 filed jointly by the Company and House of Doge (as amended from time to time, the “Registration Statement”) containing a proxy statement/prospectus, which Registration Statement was declared effective by the Securities and Exchange Commission on February 5, 2026.</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Proposal 1 was to approve and adopt the Merger Agreement, pursuant to which the Merger will occur, and to approve the transactions contemplated by the Merger Agreement. On the basis of the submitted votes, each of proposals 1 through 3 and 5 through 7 were approved and the stockholders elected, effective at the effective time of the Merger, the six directors listed in proposal 4 to serve on the Board until the next annual meeting of stockholders, and until their respective successors are duly elected and qualified.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Awards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16, 2026, the Company’s Board of Directors approved the acceleration of the expiration date for certain awards granted in 2025 to expire on April 25, 2026. The acceleration of the expiration of the awards was agreed to by the affected participants via an executed consent form.</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Additionally, on April 16, 2026, the Company granted a total of 1,649,933 fully vested shares of RSU’s to its CEO and COO as stock-based compensation valued at a total of $1,004,809.</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April 27, 2026, the Company granted a total of 975,000 fully vested shares of RSU’s as stock-based compensation valued at a total of $699,075.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580" w:right="4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investment in shares of our Common Stock is highly speculative and involves a high degree of risk. We face a variety of risks that may affect our operations or financial results and many of those risks are driven by factors that we cannot control or predict. Before investing in our Common Stock, you should carefully consider the risks set forth under the section titled “Risk Factors” in our Annual Report on Form 10-K for the year ended December 31, 2025, filed with the SEC on March 31, 2026, which are incorporated by reference herein, together with the financial and other information contained or incorporated by reference therein, are incorporated by reference in this prospectus. If any of these risks actually occur, our business, prospects, financial condition and results of operations could be materially adversely affected. In that case, the trading price of our Common Stock would likely decline and you may lose all or a part of your investment. Only those investors who can bear the risk of loss of their entire investment should invest in our Common Stock. Additional risks and uncertainties not presently known to us or that we currently deem immaterial also may impair our business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Shares. All proceeds from the sale of the Shares will be for the account of the Selling Stockholders, as described below. See the sections titled “Selling Stockholders” and “Plan of Distribution” described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table sets forth (a) the name and position or positions with the Company of each Selling Stockholder; (b) the aggregate of (i) the number of shares of Common Stock held by each Selling Stockholder as of the date of this prospectus and (ii) the number of shares issuable upon exercise of options granted to each Selling Stockholder under the Stock Incentive Plan that are being registered pursuant to this Registration Statement for resale by each Selling Stockholder as of the date of this prospectus; (c) the number of shares of Common Stock that each Selling Stockholder may offer for sale from time to time pursuant to this prospectus, whether or not such Selling Stockholder has a present intention to do so; and (d) the number of shares of Common Stock to be beneficially owned by each Selling Stockholder following the sale of all shares that may be so offered pursuant to this prospectus, assuming the Selling Stockholders sell all of the Common Stock offered pursuant to this prospectus and no other change in ownership of Common Stock by such Selling Stockholder after the date of this prospectus. Unless otherwise indicated, beneficial ownership is direct, and the person indicated has sole voting and investment power.</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May 26, 2026, there were 27,281,877 shares of Common Stock outstanding. Other than Mr. Malloy, II and Mr. Leibovich, none of the Selling Stockholders own more than one percent (1%) of our outstanding shares of Common Stock.</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Inclusion of an individual’s name in the table below does not constitute an admission that such individual is an “affiliate”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Selling Stockholders</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18"/>
                <w:szCs w:val="18"/>
                <w:color w:val="auto"/>
              </w:rPr>
            </w:pP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Principal Position with the Company</w:t>
            </w:r>
            <w:r>
              <w:rPr>
                <w:rFonts w:ascii="Times New Roman" w:cs="Times New Roman" w:eastAsia="Times New Roman" w:hAnsi="Times New Roman"/>
                <w:sz w:val="29"/>
                <w:szCs w:val="29"/>
                <w:b w:val="1"/>
                <w:bCs w:val="1"/>
                <w:color w:val="auto"/>
                <w:w w:val="97"/>
                <w:vertAlign w:val="superscript"/>
              </w:rPr>
              <w:t>(2)</w:t>
            </w:r>
          </w:p>
        </w:tc>
        <w:tc>
          <w:tcPr>
            <w:tcW w:w="120" w:type="dxa"/>
            <w:vAlign w:val="bottom"/>
            <w:vMerge w:val="restart"/>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Offered for</w:t>
            </w:r>
          </w:p>
        </w:tc>
        <w:tc>
          <w:tcPr>
            <w:tcW w:w="260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0" w:type="dxa"/>
            <w:vAlign w:val="bottom"/>
          </w:tcPr>
          <w:p>
            <w:pPr>
              <w:spacing w:after="0"/>
              <w:rPr>
                <w:sz w:val="1"/>
                <w:szCs w:val="1"/>
                <w:color w:val="auto"/>
              </w:rPr>
            </w:pPr>
          </w:p>
        </w:tc>
      </w:tr>
      <w:tr>
        <w:trPr>
          <w:trHeight w:val="245"/>
        </w:trPr>
        <w:tc>
          <w:tcPr>
            <w:tcW w:w="222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342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Resale</w:t>
            </w:r>
          </w:p>
        </w:tc>
        <w:tc>
          <w:tcPr>
            <w:tcW w:w="3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Resale</w:t>
            </w:r>
          </w:p>
        </w:tc>
        <w:tc>
          <w:tcPr>
            <w:tcW w:w="200" w:type="dxa"/>
            <w:vAlign w:val="bottom"/>
          </w:tcPr>
          <w:p>
            <w:pPr>
              <w:spacing w:after="0"/>
              <w:rPr>
                <w:sz w:val="21"/>
                <w:szCs w:val="21"/>
                <w:color w:val="auto"/>
              </w:rPr>
            </w:pPr>
          </w:p>
        </w:tc>
        <w:tc>
          <w:tcPr>
            <w:tcW w:w="24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owned After Resale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52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Lavell Juan Malloy, II</w:t>
            </w:r>
          </w:p>
        </w:tc>
        <w:tc>
          <w:tcPr>
            <w:tcW w:w="3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460" w:type="dxa"/>
            <w:vAlign w:val="bottom"/>
            <w:gridSpan w:val="2"/>
            <w:shd w:val="clear" w:color="auto" w:fill="CCEEFF"/>
          </w:tcPr>
          <w:p>
            <w:pPr>
              <w:jc w:val="right"/>
              <w:ind w:right="180"/>
              <w:spacing w:after="0" w:line="324" w:lineRule="exact"/>
              <w:rPr>
                <w:sz w:val="20"/>
                <w:szCs w:val="20"/>
                <w:color w:val="auto"/>
              </w:rPr>
            </w:pPr>
            <w:r>
              <w:rPr>
                <w:rFonts w:ascii="Times New Roman" w:cs="Times New Roman" w:eastAsia="Times New Roman" w:hAnsi="Times New Roman"/>
                <w:sz w:val="18"/>
                <w:szCs w:val="18"/>
                <w:color w:val="auto"/>
              </w:rPr>
              <w:t>1,805,818</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1,172,189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633,629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338"/>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Daniel Leibovich</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Operating Officer and Director</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1,740,399</w:t>
            </w:r>
            <w:r>
              <w:rPr>
                <w:rFonts w:ascii="Times New Roman" w:cs="Times New Roman" w:eastAsia="Times New Roman" w:hAnsi="Times New Roman"/>
                <w:sz w:val="29"/>
                <w:szCs w:val="29"/>
                <w:color w:val="auto"/>
                <w:vertAlign w:val="superscript"/>
              </w:rPr>
              <w:t>(4)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1,172,188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568,211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338"/>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Chetan Jindal</w:t>
            </w:r>
          </w:p>
        </w:tc>
        <w:tc>
          <w:tcPr>
            <w:tcW w:w="3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Former Chief Financial Officer</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234,897</w:t>
            </w:r>
            <w:r>
              <w:rPr>
                <w:rFonts w:ascii="Times New Roman" w:cs="Times New Roman" w:eastAsia="Times New Roman" w:hAnsi="Times New Roman"/>
                <w:sz w:val="29"/>
                <w:szCs w:val="29"/>
                <w:color w:val="auto"/>
                <w:vertAlign w:val="superscript"/>
              </w:rPr>
              <w:t>(5)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228,647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6,250</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7"/>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Rene Rodriguez</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Acting Chief Financial Officer</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175,719</w:t>
            </w:r>
            <w:r>
              <w:rPr>
                <w:rFonts w:ascii="Times New Roman" w:cs="Times New Roman" w:eastAsia="Times New Roman" w:hAnsi="Times New Roman"/>
                <w:sz w:val="29"/>
                <w:szCs w:val="29"/>
                <w:color w:val="auto"/>
                <w:vertAlign w:val="superscript"/>
              </w:rPr>
              <w:t>(6)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719</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8"/>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Foster</w:t>
            </w:r>
          </w:p>
        </w:tc>
        <w:tc>
          <w:tcPr>
            <w:tcW w:w="3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325,000</w:t>
            </w:r>
            <w:r>
              <w:rPr>
                <w:rFonts w:ascii="Times New Roman" w:cs="Times New Roman" w:eastAsia="Times New Roman" w:hAnsi="Times New Roman"/>
                <w:sz w:val="29"/>
                <w:szCs w:val="29"/>
                <w:color w:val="auto"/>
                <w:vertAlign w:val="superscript"/>
              </w:rPr>
              <w:t>(7)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8"/>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Scott Woller</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175,000</w:t>
            </w:r>
            <w:r>
              <w:rPr>
                <w:rFonts w:ascii="Times New Roman" w:cs="Times New Roman" w:eastAsia="Times New Roman" w:hAnsi="Times New Roman"/>
                <w:sz w:val="29"/>
                <w:szCs w:val="29"/>
                <w:color w:val="auto"/>
                <w:vertAlign w:val="superscript"/>
              </w:rPr>
              <w:t>(8)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8"/>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DeLu Jackson</w:t>
            </w:r>
          </w:p>
        </w:tc>
        <w:tc>
          <w:tcPr>
            <w:tcW w:w="3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202,502</w:t>
            </w:r>
            <w:r>
              <w:rPr>
                <w:rFonts w:ascii="Times New Roman" w:cs="Times New Roman" w:eastAsia="Times New Roman" w:hAnsi="Times New Roman"/>
                <w:sz w:val="29"/>
                <w:szCs w:val="29"/>
                <w:color w:val="auto"/>
                <w:vertAlign w:val="superscript"/>
              </w:rPr>
              <w:t>(9)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27,502</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Daniel Fidrya</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Former Director</w:t>
            </w:r>
          </w:p>
        </w:tc>
        <w:tc>
          <w:tcPr>
            <w:tcW w:w="1460" w:type="dxa"/>
            <w:vAlign w:val="bottom"/>
            <w:gridSpan w:val="2"/>
          </w:tcPr>
          <w:p>
            <w:pPr>
              <w:jc w:val="right"/>
              <w:ind w:right="100"/>
              <w:spacing w:after="0" w:line="324" w:lineRule="exact"/>
              <w:rPr>
                <w:sz w:val="20"/>
                <w:szCs w:val="20"/>
                <w:color w:val="auto"/>
              </w:rPr>
            </w:pPr>
            <w:r>
              <w:rPr>
                <w:rFonts w:ascii="Times New Roman" w:cs="Times New Roman" w:eastAsia="Times New Roman" w:hAnsi="Times New Roman"/>
                <w:sz w:val="18"/>
                <w:szCs w:val="18"/>
                <w:color w:val="auto"/>
              </w:rPr>
              <w:t>125,000</w:t>
            </w:r>
            <w:r>
              <w:rPr>
                <w:rFonts w:ascii="Times New Roman" w:cs="Times New Roman" w:eastAsia="Times New Roman" w:hAnsi="Times New Roman"/>
                <w:sz w:val="29"/>
                <w:szCs w:val="29"/>
                <w:color w:val="auto"/>
                <w:vertAlign w:val="superscript"/>
              </w:rPr>
              <w:t>(10)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0"/>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4,784,335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3,548,024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1,236,311</w:t>
            </w:r>
          </w:p>
        </w:tc>
        <w:tc>
          <w:tcPr>
            <w:tcW w:w="12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Less than 1%</w:t>
            </w:r>
          </w:p>
        </w:tc>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 w:type="dxa"/>
            <w:vAlign w:val="bottom"/>
            <w:vMerge w:val="continue"/>
          </w:tcPr>
          <w:p>
            <w:pPr>
              <w:spacing w:after="0"/>
              <w:rPr>
                <w:sz w:val="24"/>
                <w:szCs w:val="24"/>
                <w:color w:val="auto"/>
              </w:rPr>
            </w:pPr>
          </w:p>
        </w:tc>
        <w:tc>
          <w:tcPr>
            <w:tcW w:w="1800" w:type="dxa"/>
            <w:vAlign w:val="bottom"/>
            <w:gridSpan w:val="2"/>
            <w:vMerge w:val="continue"/>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noted below, the address for each person or entity listed in the table is c/o Brag House Holdings, Inc., 45 Park Street, Montclair, NJ 07042.</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positions described are with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633,629 shares of Common Stock held directly, which are not being registered under the Registration Statement of which this prospectus forms a part, (ii) 347,222 shares of restricted stock units issued in replacement of options to purchase shares of Common Stock originally granted on March 6, 2025 under the Stock Incentive Plan, which options vested in full on October 12, 2025 and were subsequently canceled and replaced with a restricted stock unit award approved by the Company’s Board of Directors on March 18, 2026, and (iii) 824,967 shares of restricted stock units granted on April 16, 2026 under the Stock Incentive Plan, fully vested from the date of grant.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both"/>
        <w:ind w:left="660" w:hanging="652"/>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568,211 shares of Common Stock held directly, which are not being registered under the Registration Statement of which this prospectus forms a part, (ii) 347,222 shares of restricted stock units issued in replacement of options to purchase shares of Common Stock originally granted on March 6, 2025 under the Stock Incentive Plan, which options vested in full on October 12, 2025 and were subsequently canceled and replaced with a restricted stock unit award approved by the Company’s Board of Directors on March 18, 2026, and (iii) 824,966 shares of restricted stock units granted on April 16, 2026 under the Stock Incentive Plan, fully vested from the date of grant.</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6,250 shares of Common Stock held directly, which are not being registered under the Registration Statement of which this prospectus forms a part, (ii) 45,000 shares of Common Stock issuable upon exercise of options to purchase shares of Common Stock granted on March 6, 2025 under the Stock Incentive Plan, which vested in full on October 12, 2025, and (iii) 183,647 shares of Common Stock issuable upon exercise of options to purchase shares of Common Stock granted on June 24, 2025 under the Stock Incentive Plan, which vested in full on October 12, 2025.</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719 shares of Common Stock held directly, which are not being registered under the Registration Statement of which this prospectus forms a part, and (ii) 175,000 shares of restricted stock units granted on April 27, 2026 under the Stock Incentive Plan, fully vested from the date of grant.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solely of 325,000 shares of restricted stock units granted on April 27, 2026 under the Stock Incentive Plan, fully vested from the date of grant.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solely of 175,000 shares of restricted stock units granted on April 27, 2026 under the Stock Incentive Plan, fully vested from the date of grant.</w:t>
      </w:r>
    </w:p>
    <w:p>
      <w:pPr>
        <w:spacing w:after="0" w:line="161"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27,502 shares of Common Stock held directly, which are not being registered under the Registration Statement of which this prospectus forms a part, and (ii) 175,000 shares of restricted stock units granted on April 27, 2026 under the Stock Incentive Plan, fully vested from the date of grant.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solely of 125,000 shares of restricted stock units granted on April 27, 2026 under the Stock Incentive Plan, fully vested from the date of grant.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left="45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section of the prospectus, the term “Selling Stockholder” means and includes:</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identified in the table above as the Selling Stockholders;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persons whose identities are not known as of the date hereof but may in the future be eligible to receive options under the Stock Incentive Plan;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donees, pledgees, distributees, transferees or other successors in interest of those persons referenced above who may: (a) receive any of the shares of our Common Stock offered hereby after the date of this prospectus and (b) offer or sell those shares hereunder.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shares of our Common Stock offered by this prospectus may be sold from time to time directly by the Selling Stockholders. Alternatively, the Selling Stockholders may from time to time offer such shares through underwriters, brokers, dealers, agents or other intermediaries. The Selling Stockholders as of the date of this prospectus have advised us that there were no underwriting or distribution arrangements entered into with respect to the Common Stock offered hereby. The distribution of the Common Stock by the Selling Stockholders may be effected: in one or more transactions that may take place on The Nasdaq Capital Market (including one or more block transaction) through customary brokerage channels, either through brokers acting as agents for the Selling Stockholders, or through market makers, dealers or underwriters acting as principals who may resell these shares on The Nasdaq Capital Market; in privately-negotiated sales; by a combination of such methods; or by other means. These transactions may be affected at market prices prevailing at the time of sale, at prices related to such prevailing market prices or at other negotiated prices. Usual and customary or specifically negotiated brokerage fees or commissions may be paid by the Selling Stockholders in connection with sales of our Common Stock.</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Stockholders may enter into hedging transactions with broker-dealers in connection with distributions of the shares or otherwise. In such transactions, broker-dealers may engage in short sales of the shares of our Common Stock in the course of hedging the positions they assume with the Selling Stockholders. The Selling Stockholders also may sell shares short and redeliver the shares to close out such short positions. The Selling Stockholders may enter into option or other transactions with broker-dealers which require the delivery to the broker-dealer of shares of our Common Stock. The broker-dealer may then resell or otherwise transfer such shares of Common Stock pursuant to this prospectus.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lend or pledge shares of our Common Stock to a broker-dealer. The broker-dealer may sell the shares of Common Stock so lent, or upon a default the broker-dealer may sell the pledged shares of Common Stock pursuant to this prospectus. Any securities covered by this prospectus which qualify for sale pursuant to Rule 144 may be sold under Rule 144 rather than pursuant to this prospectus.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Selling Stockholders have advised us that they have not entered into any agreements, understandings or arrangements with any underwriters or broker-dealers regarding the sale of their securities. There is no underwriter or coordinating broker acting in connection with the proposed sale of shares of Common Stock the Selling Stockholders.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the shares of Common Stock covered by this prospectus are not currently being underwritten, the Selling Stockholders or their underwriters, brokers, dealers or other agents or other intermediaries, if any, that may participate with the selling security holders in any offering or distribution of Common Stock may be deemed “underwriters” within the meaning of the Securities Act and any profits realized or commissions received by them may be deemed underwriting compensation thereunder.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a distribution of shares of the Common Stock offered hereby may not simultaneously engage in market making activities with respect to the Common Stock for a period of up to five days preceding such distribution. The Selling Stockholders will be subject to the applicable provisions of the Exchange Act and the rules and regulations promulgated thereunder, including without limitation Regulation M, which provisions may limit the timing of purchases and sales by the Selling Stockholders.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certain state securities or blue-sky laws and regulations, if applicable, the Common Stock offered hereby will be sold in such jurisdictions only through registered or licensed brokers or dealers. In certain states, the Common Stock may not be sold unless they are registered or qualified for sale in such state, or unless an exemption from registration or qualification is available and is obtained.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Common Stock offered hereby. However, the Selling Stockholders will bear any brokerage or underwriting commissions and similar selling expenses, if any, attributable to the sale of the shares of Common Stock offered pursuant to this prospectus. We have agreed to indemnify the Selling Stockholders against certain liabilities, including liabilities under the Securities Act, or to contribute to payments to which any of those security holders may be required to make in respect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can be no assurance that the Selling Stockholders will sell any or all of the securities offered by them hereby.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validity of the securities being offered herein has been passed upon for us by Lucosky Brookman LLP.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statements of Brag House as of December 31, 2025, and for the year then ended, incorporated in this prospectus by reference to the Annual Report on Form 10-K for the year ended December 31, 2025, which includes an explanatory paragraph as to Brag House’s ability to continue as a going concern, have been so incorporated in reliance on the report of CBIZ CPAs P.C., Brag House’s independent registered public accounting firm, upon the authority of said firm as experts in accounting and auditing.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statements of Brag House as of December 31, 2024, and for the year then ended, incorporated in this prospectus by reference to the Annual Report on Form 10-K for the year ended December 31, 2024, which includes an explanatory paragraph as to Brag House’s ability to continue as a going concern, have been so incorporated in reliance on the report of Marcum LLP, Brag House’s former independent registered public accounting firm, upon the authority of said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OF COMMISSION POSITION 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FOR SECURITIES LAWS VIOLATIONS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we have been informed that in the opinion of the SEC such indemnification is against public policy as expressed in the Securities Act and is, therefore, unenforceable.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document. We have not authorized anyone to provide you with information that is different. This document may only be used where it is legal to sell these securities. The information in this document may only be accurate on the date of this document.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Additional risks and uncertainties not presently known or that are currently deemed immaterial may also impair our business operations. The risks and uncertainties described in this document and other risks and uncertainties which we may face in the future will have a greater impact on those who purchase our common stock. These purchasers will purchase our common stock at the market price or at a privately negotiated price and will run the risk of losing their entire investment.</w:t>
      </w:r>
    </w:p>
    <w:p>
      <w:pPr>
        <w:spacing w:after="0" w:line="17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3,548,024 shares of Common Stock under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2024 Omnibus Incentive Plan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26, 2026</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Commission are hereby incorporated by reference in this Registration Statement:</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2025, filed with the SEC on </w:t>
      </w:r>
      <w:hyperlink r:id="rId50">
        <w:r>
          <w:rPr>
            <w:rFonts w:ascii="Times New Roman" w:cs="Times New Roman" w:eastAsia="Times New Roman" w:hAnsi="Times New Roman"/>
            <w:sz w:val="18"/>
            <w:szCs w:val="18"/>
            <w:u w:val="single" w:color="auto"/>
            <w:color w:val="0000EE"/>
          </w:rPr>
          <w:t>March 31, 2026</w:t>
        </w:r>
      </w:hyperlink>
      <w:r>
        <w:rPr>
          <w:rFonts w:ascii="Times New Roman" w:cs="Times New Roman" w:eastAsia="Times New Roman" w:hAnsi="Times New Roman"/>
          <w:sz w:val="18"/>
          <w:szCs w:val="18"/>
          <w:color w:val="auto"/>
        </w:rPr>
        <w:t xml:space="preserve">, as amended on </w:t>
      </w:r>
      <w:hyperlink r:id="rId21">
        <w:r>
          <w:rPr>
            <w:rFonts w:ascii="Times New Roman" w:cs="Times New Roman" w:eastAsia="Times New Roman" w:hAnsi="Times New Roman"/>
            <w:sz w:val="18"/>
            <w:szCs w:val="18"/>
            <w:u w:val="single" w:color="auto"/>
            <w:color w:val="0000EE"/>
          </w:rPr>
          <w:t>April 22, 2026</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2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15, 2026;</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23">
        <w:r>
          <w:rPr>
            <w:rFonts w:ascii="Times New Roman" w:cs="Times New Roman" w:eastAsia="Times New Roman" w:hAnsi="Times New Roman"/>
            <w:sz w:val="18"/>
            <w:szCs w:val="18"/>
            <w:u w:val="single" w:color="auto"/>
            <w:color w:val="0000EE"/>
          </w:rPr>
          <w:t>January 9, 2026</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 xml:space="preserve">February 11, </w:t>
        </w:r>
      </w:hyperlink>
      <w:hyperlink r:id="rId25">
        <w:r>
          <w:rPr>
            <w:rFonts w:ascii="Times New Roman" w:cs="Times New Roman" w:eastAsia="Times New Roman" w:hAnsi="Times New Roman"/>
            <w:sz w:val="18"/>
            <w:szCs w:val="18"/>
            <w:u w:val="single" w:color="auto"/>
            <w:color w:val="auto"/>
          </w:rPr>
          <w:t>2026</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March 20, 2026</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March 24, 2026</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April 1, 2026</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April 13,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9">
        <w:r>
          <w:rPr>
            <w:rFonts w:ascii="Times New Roman" w:cs="Times New Roman" w:eastAsia="Times New Roman" w:hAnsi="Times New Roman"/>
            <w:sz w:val="18"/>
            <w:szCs w:val="18"/>
            <w:u w:val="single" w:color="auto"/>
            <w:color w:val="0000EE"/>
          </w:rPr>
          <w:t xml:space="preserve">May 8, 2026,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30">
        <w:r>
          <w:rPr>
            <w:rFonts w:ascii="Times New Roman" w:cs="Times New Roman" w:eastAsia="Times New Roman" w:hAnsi="Times New Roman"/>
            <w:sz w:val="18"/>
            <w:szCs w:val="18"/>
            <w:u w:val="single" w:color="auto"/>
            <w:color w:val="0000EE"/>
          </w:rPr>
          <w:t xml:space="preserve">May 15, 2026 </w:t>
        </w:r>
      </w:hyperlink>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each case, except for information contained therein which is furnished rather than filed); and</w:t>
      </w:r>
    </w:p>
    <w:p>
      <w:pPr>
        <w:spacing w:after="0" w:line="161"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31">
        <w:r>
          <w:rPr>
            <w:rFonts w:ascii="Times New Roman" w:cs="Times New Roman" w:eastAsia="Times New Roman" w:hAnsi="Times New Roman"/>
            <w:sz w:val="18"/>
            <w:szCs w:val="18"/>
            <w:u w:val="single" w:color="auto"/>
            <w:color w:val="0000EE"/>
          </w:rPr>
          <w:t>Form 8-A12B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February 14, 2025.</w:t>
      </w:r>
    </w:p>
    <w:p>
      <w:pPr>
        <w:spacing w:after="0" w:line="225" w:lineRule="exact"/>
        <w:rPr>
          <w:rFonts w:ascii="Times New Roman" w:cs="Times New Roman" w:eastAsia="Times New Roman" w:hAnsi="Times New Roman"/>
          <w:sz w:val="18"/>
          <w:szCs w:val="18"/>
          <w:color w:val="0000EE"/>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pacing w:after="0" w:line="188"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rFonts w:ascii="Times New Roman" w:cs="Times New Roman" w:eastAsia="Times New Roman" w:hAnsi="Times New Roman"/>
          <w:sz w:val="18"/>
          <w:szCs w:val="18"/>
          <w:color w:val="0000EE"/>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rFonts w:ascii="Times New Roman" w:cs="Times New Roman" w:eastAsia="Times New Roman" w:hAnsi="Times New Roman"/>
          <w:sz w:val="18"/>
          <w:szCs w:val="18"/>
          <w:color w:val="0000EE"/>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by us pursuant to the Stock Incentive Plan will be passed upon for us by Lucosky Brookman LLP, Woodbridge, NJ. As of May 26, 2026, attorneys at Lucosky Brookman LLP collectively own approximately 1% of the Company’s shares of Common Stock, and such attorneys may receive securities in the future pursuant to the Stock Incentive Plan.</w:t>
      </w:r>
    </w:p>
    <w:p>
      <w:pPr>
        <w:spacing w:after="0" w:line="39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its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provides for the indemnification of the Registrant’s directors and officers from personal liability in respect of their good faith service to or for the benefit of the Registrant to the fullest extent permitted under the Delaware General Corporation Law. In addition, the bylaws of the Registrant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redemptions or other distributions or (4) for any transaction from which the director derived an improper personal benefit. The Registrant’s certificate of incorporation provides that the Registrant’s directors shall not be personally liable to the Registrant or its stockholders for monetary damages for breach of fiduciary duty as a director and that if the Delaware General Corporation Law is amended after approval by the stockholders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permitted by the Delaware General Corporation Law, the Registrant has entered into separate indemnification agreements with each of the Registrant’s directors and certain of the Registrant’s officers which require the Registrant, among other things, to indemnify them against certain liabilities which may arise by reason of their status as directors, officers or certain other employees.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Registrant has directors’ and officers’ liability insurance insuring its directors and officers against liability for acts or omissions in their capacities as directors or officers, subject to certain exclusions. Such insurance may also insure the Registrant against losses, which it may incur in indemnifying its officers and directors.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Brag House Holdings, Inc.’s Amended and Restated 2024 Omnibus Incentive Plan</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Lucosky Brookman LLP.</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Restricted Stock Award by and between Brag House Holdings, Inc. and Lavell Juan Malloy, II (incorporated herein by reference to Exhibit</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Current Report on Form 8-K filed with the SEC on March 24, 2026).</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Restricted Stock Award by and between Brag House Holdings, Inc. and Daniel Leibovich (incorporated herein by reference to Exhibit 10.2</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to the Current Report on Form 8-K filed with the SEC on March 24, 2026).</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CBIZ CPAs P.C.</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Marcum LLP.</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Lucosky Brookman LLP (included in Exhibit 5.1).</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(contained on the signature page hereto).</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5"/>
                <w:szCs w:val="15"/>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firstLine="980"/>
        <w:spacing w:after="0" w:line="256" w:lineRule="auto"/>
        <w:tabs>
          <w:tab w:leader="none" w:pos="1259"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firstLine="980"/>
        <w:spacing w:after="0" w:line="282" w:lineRule="auto"/>
        <w:tabs>
          <w:tab w:leader="none" w:pos="1293"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176" w:lineRule="exact"/>
        <w:rPr>
          <w:sz w:val="20"/>
          <w:szCs w:val="20"/>
          <w:color w:val="auto"/>
        </w:rPr>
      </w:pPr>
    </w:p>
    <w:p>
      <w:pPr>
        <w:jc w:val="both"/>
        <w:ind w:firstLine="656"/>
        <w:spacing w:after="0" w:line="266" w:lineRule="auto"/>
        <w:tabs>
          <w:tab w:leader="none" w:pos="91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332"/>
        <w:spacing w:after="0" w:line="258" w:lineRule="auto"/>
        <w:tabs>
          <w:tab w:leader="none" w:pos="6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firstLine="332"/>
        <w:spacing w:after="0" w:line="255" w:lineRule="auto"/>
        <w:tabs>
          <w:tab w:leader="none" w:pos="5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Montclair, State of New Jersey, on the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May, 2026.</w:t>
      </w:r>
    </w:p>
    <w:p>
      <w:pPr>
        <w:spacing w:after="0" w:line="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22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Lavell Juan Malloy,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Lavell Juan Malloy, II</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Lavell Juan Malloy, II, his true and lawful attorney-in-fact and agent, with full power of substitution and resubstitution, to sign any and all amendments (including post-effective amendments) to this registration statement on Form S-8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 or substitutes, or any of them, shall do or cause to be done by virtue hereof.</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1"/>
                <w:szCs w:val="21"/>
                <w:color w:val="auto"/>
              </w:rPr>
            </w:pPr>
          </w:p>
        </w:tc>
        <w:tc>
          <w:tcPr>
            <w:tcW w:w="562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Lavell Juan Malloy, II</w:t>
            </w:r>
          </w:p>
        </w:tc>
        <w:tc>
          <w:tcPr>
            <w:tcW w:w="10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Lavell Juan Malloy, II</w:t>
            </w:r>
          </w:p>
        </w:tc>
        <w:tc>
          <w:tcPr>
            <w:tcW w:w="100" w:type="dxa"/>
            <w:vAlign w:val="bottom"/>
          </w:tcPr>
          <w:p>
            <w:pPr>
              <w:spacing w:after="0"/>
              <w:rPr>
                <w:sz w:val="20"/>
                <w:szCs w:val="20"/>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40" w:type="dxa"/>
            <w:vAlign w:val="bottom"/>
          </w:tcPr>
          <w:p>
            <w:pPr>
              <w:spacing w:after="0"/>
              <w:rPr>
                <w:sz w:val="20"/>
                <w:szCs w:val="20"/>
                <w:color w:val="auto"/>
              </w:rPr>
            </w:pPr>
          </w:p>
        </w:tc>
      </w:tr>
      <w:tr>
        <w:trPr>
          <w:trHeight w:val="42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Rene Rodriguez</w:t>
            </w:r>
          </w:p>
        </w:tc>
        <w:tc>
          <w:tcPr>
            <w:tcW w:w="10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Acting Chief Financial Officer (Principal</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Rene Rodriguez</w:t>
            </w:r>
          </w:p>
        </w:tc>
        <w:tc>
          <w:tcPr>
            <w:tcW w:w="100" w:type="dxa"/>
            <w:vAlign w:val="bottom"/>
          </w:tcPr>
          <w:p>
            <w:pPr>
              <w:spacing w:after="0"/>
              <w:rPr>
                <w:sz w:val="20"/>
                <w:szCs w:val="20"/>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c>
          <w:tcPr>
            <w:tcW w:w="2140" w:type="dxa"/>
            <w:vAlign w:val="bottom"/>
          </w:tcPr>
          <w:p>
            <w:pPr>
              <w:spacing w:after="0"/>
              <w:rPr>
                <w:sz w:val="20"/>
                <w:szCs w:val="20"/>
                <w:color w:val="auto"/>
              </w:rPr>
            </w:pPr>
          </w:p>
        </w:tc>
      </w:tr>
      <w:tr>
        <w:trPr>
          <w:trHeight w:val="42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Daniel Leibovich</w:t>
            </w:r>
          </w:p>
        </w:tc>
        <w:tc>
          <w:tcPr>
            <w:tcW w:w="10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Daniel Leibovich</w:t>
            </w:r>
          </w:p>
        </w:tc>
        <w:tc>
          <w:tcPr>
            <w:tcW w:w="1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DeLu Jackson</w:t>
            </w:r>
          </w:p>
        </w:tc>
        <w:tc>
          <w:tcPr>
            <w:tcW w:w="10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DeLu Jackson</w:t>
            </w:r>
          </w:p>
        </w:tc>
        <w:tc>
          <w:tcPr>
            <w:tcW w:w="1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Kevin Foster</w:t>
            </w:r>
          </w:p>
        </w:tc>
        <w:tc>
          <w:tcPr>
            <w:tcW w:w="10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Kevin Foster</w:t>
            </w:r>
          </w:p>
        </w:tc>
        <w:tc>
          <w:tcPr>
            <w:tcW w:w="1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Woller</w:t>
            </w:r>
          </w:p>
        </w:tc>
        <w:tc>
          <w:tcPr>
            <w:tcW w:w="10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Scott Woller</w:t>
            </w:r>
          </w:p>
        </w:tc>
        <w:tc>
          <w:tcPr>
            <w:tcW w:w="1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2024 OMNIBUS INCENTIVE PLAN</w:t>
      </w:r>
    </w:p>
    <w:p>
      <w:pPr>
        <w:spacing w:after="0" w:line="203" w:lineRule="exact"/>
        <w:rPr>
          <w:sz w:val="20"/>
          <w:szCs w:val="20"/>
          <w:color w:val="auto"/>
        </w:rPr>
      </w:pPr>
    </w:p>
    <w:p>
      <w:pPr>
        <w:jc w:val="both"/>
        <w:ind w:firstLine="656"/>
        <w:spacing w:after="0" w:line="257" w:lineRule="auto"/>
        <w:tabs>
          <w:tab w:leader="none" w:pos="84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THE PLAN</w:t>
      </w:r>
      <w:r>
        <w:rPr>
          <w:rFonts w:ascii="Times New Roman" w:cs="Times New Roman" w:eastAsia="Times New Roman" w:hAnsi="Times New Roman"/>
          <w:sz w:val="18"/>
          <w:szCs w:val="18"/>
          <w:color w:val="auto"/>
        </w:rPr>
        <w:t>. The purpose of the Amended and Restated 2024 Omnibus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is to provide favorable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opportunities for Directors, officers, Employees, or Consultants employed by or providing service to Brag House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any of its Subsidiaries, to acquire shares of common stock of the Company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or to benefit from the appreciation thereof. Such opportunities should provide an increased incentive for these individuals to contribute to the future success and prosperity of the Company, thus enhancing the value of the Company’s Common Stock for the benefit of the stockholders, and increase the ability of the Company to attract and retain individuals of exceptional skill upon whom, in large measure, its sustained progress, growth and profitability depend.</w:t>
      </w:r>
    </w:p>
    <w:p>
      <w:pPr>
        <w:spacing w:after="0" w:line="182"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5"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551"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Award </w:t>
      </w:r>
      <w:r>
        <w:rPr>
          <w:rFonts w:ascii="Times New Roman" w:cs="Times New Roman" w:eastAsia="Times New Roman" w:hAnsi="Times New Roman"/>
          <w:sz w:val="18"/>
          <w:szCs w:val="18"/>
          <w:color w:val="auto"/>
        </w:rPr>
        <w:t>means any (i) Options, (ii) Stock Appreciation Rights, (iii) Restricted Shares, (iv) Restricted Stock Units, or (v) Other Awards,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granted under the Plan, whether granted singly, in combination, or in tandem to a Participant.</w:t>
      </w:r>
    </w:p>
    <w:p>
      <w:pPr>
        <w:spacing w:after="0" w:line="154"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588"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Award Agreement </w:t>
      </w:r>
      <w:r>
        <w:rPr>
          <w:rFonts w:ascii="Times New Roman" w:cs="Times New Roman" w:eastAsia="Times New Roman" w:hAnsi="Times New Roman"/>
          <w:sz w:val="18"/>
          <w:szCs w:val="18"/>
          <w:color w:val="auto"/>
        </w:rPr>
        <w:t>means the written agreement between the Company and a Participant that sets forth the terms, conditions,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requirements, limitations and restrictions applicable to an Award.</w:t>
      </w:r>
    </w:p>
    <w:p>
      <w:pPr>
        <w:spacing w:after="0" w:line="154" w:lineRule="exact"/>
        <w:rPr>
          <w:rFonts w:ascii="Times New Roman" w:cs="Times New Roman" w:eastAsia="Times New Roman" w:hAnsi="Times New Roman"/>
          <w:sz w:val="18"/>
          <w:szCs w:val="18"/>
          <w:b w:val="1"/>
          <w:bCs w:val="1"/>
          <w:color w:val="auto"/>
        </w:rPr>
      </w:pPr>
    </w:p>
    <w:p>
      <w:pPr>
        <w:ind w:left="1540" w:hanging="236"/>
        <w:spacing w:after="0"/>
        <w:tabs>
          <w:tab w:leader="none" w:pos="154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Change of Control </w:t>
      </w:r>
      <w:r>
        <w:rPr>
          <w:rFonts w:ascii="Times New Roman" w:cs="Times New Roman" w:eastAsia="Times New Roman" w:hAnsi="Times New Roman"/>
          <w:sz w:val="18"/>
          <w:szCs w:val="18"/>
          <w:color w:val="auto"/>
        </w:rPr>
        <w:t>means the occurrence of any of the following events:</w:t>
      </w:r>
    </w:p>
    <w:p>
      <w:pPr>
        <w:spacing w:after="0" w:line="229" w:lineRule="exact"/>
        <w:rPr>
          <w:rFonts w:ascii="Times New Roman" w:cs="Times New Roman" w:eastAsia="Times New Roman" w:hAnsi="Times New Roman"/>
          <w:sz w:val="18"/>
          <w:szCs w:val="18"/>
          <w:b w:val="1"/>
          <w:bCs w:val="1"/>
          <w:color w:val="auto"/>
        </w:rPr>
      </w:pPr>
    </w:p>
    <w:p>
      <w:pPr>
        <w:jc w:val="both"/>
        <w:ind w:left="2280" w:hanging="328"/>
        <w:spacing w:after="0" w:line="261" w:lineRule="auto"/>
        <w:tabs>
          <w:tab w:leader="none" w:pos="22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that term is used in Sections 13 and 14(d)(2) of the Exchange Act) other than a Permitted Holder (as defined below) is or becomes the beneficial owner (as that term is used in Section 13(d) of the Exchange Act), directly or indirectly, of 50% or more of either the outstanding shares of Common Stock or the combined voting power of the Company’s then outstanding voting securities entitled to vote generally,</w:t>
      </w:r>
    </w:p>
    <w:p>
      <w:pPr>
        <w:spacing w:after="0" w:line="179" w:lineRule="exact"/>
        <w:rPr>
          <w:rFonts w:ascii="Times New Roman" w:cs="Times New Roman" w:eastAsia="Times New Roman" w:hAnsi="Times New Roman"/>
          <w:sz w:val="18"/>
          <w:szCs w:val="18"/>
          <w:color w:val="auto"/>
        </w:rPr>
      </w:pPr>
    </w:p>
    <w:p>
      <w:pPr>
        <w:jc w:val="both"/>
        <w:ind w:left="2280" w:hanging="328"/>
        <w:spacing w:after="0" w:line="261" w:lineRule="auto"/>
        <w:tabs>
          <w:tab w:leader="none" w:pos="22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consecutive years, individuals who constitute the Board at the beginning of such period cease for any reason to constitute at least a majority thereof, unless the election or the nomination for election by the Company’s stockholders of each new Director was approved by a vote of at least three-quarters of the Directors then still in office who were Directors at the beginning of the period, or</w:t>
      </w:r>
    </w:p>
    <w:p>
      <w:pPr>
        <w:spacing w:after="0" w:line="179"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undergoes a liquidation or dissolution or a sale of all or substantially all of the assets of the Company.</w:t>
      </w:r>
    </w:p>
    <w:p>
      <w:pPr>
        <w:spacing w:after="0" w:line="225" w:lineRule="exact"/>
        <w:rPr>
          <w:rFonts w:ascii="Times New Roman" w:cs="Times New Roman" w:eastAsia="Times New Roman" w:hAnsi="Times New Roman"/>
          <w:sz w:val="18"/>
          <w:szCs w:val="18"/>
          <w:color w:val="auto"/>
        </w:rPr>
      </w:pPr>
    </w:p>
    <w:p>
      <w:pPr>
        <w:jc w:val="both"/>
        <w:ind w:left="22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merger, consolidation or corporate reorganization in which the owners of the combined voting power of the Company’s then outstanding voting securities entitled to vote generally prior to said combination, own 50% or more of the resulting entity’s outstanding voting securities shall, by itself, be considered a Change of Control. As used herein, “</w:t>
      </w:r>
      <w:r>
        <w:rPr>
          <w:rFonts w:ascii="Times New Roman" w:cs="Times New Roman" w:eastAsia="Times New Roman" w:hAnsi="Times New Roman"/>
          <w:sz w:val="18"/>
          <w:szCs w:val="18"/>
          <w:b w:val="1"/>
          <w:bCs w:val="1"/>
          <w:i w:val="1"/>
          <w:i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(A) the Company, (B) any corporation, partnership, trust or other entity controlled by the Company and (C)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Employee benefit plan (or related trust) sponsored or maintained by the Company or any such controlled entity.</w:t>
      </w:r>
    </w:p>
    <w:p>
      <w:pPr>
        <w:spacing w:after="0" w:line="179" w:lineRule="exact"/>
        <w:rPr>
          <w:rFonts w:ascii="Times New Roman" w:cs="Times New Roman" w:eastAsia="Times New Roman" w:hAnsi="Times New Roman"/>
          <w:sz w:val="18"/>
          <w:szCs w:val="18"/>
          <w:color w:val="auto"/>
        </w:rPr>
      </w:pPr>
    </w:p>
    <w:p>
      <w:pPr>
        <w:ind w:right="20" w:firstLine="1304"/>
        <w:spacing w:after="0" w:line="286" w:lineRule="auto"/>
        <w:tabs>
          <w:tab w:leader="none" w:pos="154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Code </w:t>
      </w:r>
      <w:r>
        <w:rPr>
          <w:rFonts w:ascii="Times New Roman" w:cs="Times New Roman" w:eastAsia="Times New Roman" w:hAnsi="Times New Roman"/>
          <w:sz w:val="18"/>
          <w:szCs w:val="18"/>
          <w:color w:val="auto"/>
        </w:rPr>
        <w:t>means the Internal Revenue Code of 1986, as amended. All section references to the Code in this Plan are intended to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amendments or substitutions thereof or subsequent to the adoption of the Plan.</w:t>
      </w:r>
    </w:p>
    <w:p>
      <w:pPr>
        <w:spacing w:after="0" w:line="154" w:lineRule="exact"/>
        <w:rPr>
          <w:rFonts w:ascii="Times New Roman" w:cs="Times New Roman" w:eastAsia="Times New Roman" w:hAnsi="Times New Roman"/>
          <w:sz w:val="18"/>
          <w:szCs w:val="18"/>
          <w:b w:val="1"/>
          <w:bCs w:val="1"/>
          <w:color w:val="auto"/>
        </w:rPr>
      </w:pPr>
    </w:p>
    <w:p>
      <w:pPr>
        <w:ind w:left="1520" w:hanging="216"/>
        <w:spacing w:after="0"/>
        <w:tabs>
          <w:tab w:leader="none" w:pos="152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means the Company’s common stock, $0.0001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ind w:right="20" w:firstLine="1304"/>
        <w:spacing w:after="0" w:line="286" w:lineRule="auto"/>
        <w:tabs>
          <w:tab w:leader="none" w:pos="1551"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Committee </w:t>
      </w:r>
      <w:r>
        <w:rPr>
          <w:rFonts w:ascii="Times New Roman" w:cs="Times New Roman" w:eastAsia="Times New Roman" w:hAnsi="Times New Roman"/>
          <w:sz w:val="18"/>
          <w:szCs w:val="18"/>
          <w:color w:val="auto"/>
        </w:rPr>
        <w:t>means the Compensation Committee of the Board, each member of which shall be an “independent director” as defined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listing standards of the exchange on which the Common Stock is principally traded.</w:t>
      </w:r>
    </w:p>
    <w:p>
      <w:pPr>
        <w:spacing w:after="0" w:line="154"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Company Group </w:t>
      </w:r>
      <w:r>
        <w:rPr>
          <w:rFonts w:ascii="Times New Roman" w:cs="Times New Roman" w:eastAsia="Times New Roman" w:hAnsi="Times New Roman"/>
          <w:sz w:val="18"/>
          <w:szCs w:val="18"/>
          <w:color w:val="auto"/>
        </w:rPr>
        <w:t>means, collectively, the Company and its Subsidiaries.</w:t>
      </w:r>
    </w:p>
    <w:p>
      <w:pPr>
        <w:spacing w:after="0" w:line="225" w:lineRule="exact"/>
        <w:rPr>
          <w:rFonts w:ascii="Times New Roman" w:cs="Times New Roman" w:eastAsia="Times New Roman" w:hAnsi="Times New Roman"/>
          <w:sz w:val="18"/>
          <w:szCs w:val="18"/>
          <w:b w:val="1"/>
          <w:bCs w:val="1"/>
          <w:color w:val="auto"/>
        </w:rPr>
      </w:pPr>
    </w:p>
    <w:p>
      <w:pPr>
        <w:ind w:left="1520" w:hanging="216"/>
        <w:spacing w:after="0"/>
        <w:tabs>
          <w:tab w:leader="none" w:pos="1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Consultant </w:t>
      </w:r>
      <w:r>
        <w:rPr>
          <w:rFonts w:ascii="Times New Roman" w:cs="Times New Roman" w:eastAsia="Times New Roman" w:hAnsi="Times New Roman"/>
          <w:sz w:val="18"/>
          <w:szCs w:val="18"/>
          <w:color w:val="auto"/>
        </w:rPr>
        <w:t>means any person, including any advisor, engaged by the Company or any of its Subsidiaries to renders services to such</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entity.</w:t>
      </w:r>
    </w:p>
    <w:p>
      <w:pPr>
        <w:spacing w:after="0" w:line="202" w:lineRule="exact"/>
        <w:rPr>
          <w:rFonts w:ascii="Times New Roman" w:cs="Times New Roman" w:eastAsia="Times New Roman" w:hAnsi="Times New Roman"/>
          <w:sz w:val="18"/>
          <w:szCs w:val="18"/>
          <w:b w:val="1"/>
          <w:bCs w:val="1"/>
          <w:color w:val="auto"/>
        </w:rPr>
      </w:pPr>
    </w:p>
    <w:p>
      <w:pPr>
        <w:ind w:left="1520" w:hanging="216"/>
        <w:spacing w:after="0"/>
        <w:tabs>
          <w:tab w:leader="none" w:pos="1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Director </w:t>
      </w:r>
      <w:r>
        <w:rPr>
          <w:rFonts w:ascii="Times New Roman" w:cs="Times New Roman" w:eastAsia="Times New Roman" w:hAnsi="Times New Roman"/>
          <w:sz w:val="18"/>
          <w:szCs w:val="18"/>
          <w:color w:val="auto"/>
        </w:rPr>
        <w:t>means a member of the Board.</w:t>
      </w:r>
    </w:p>
    <w:p>
      <w:pPr>
        <w:spacing w:after="0" w:line="225"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Disability </w:t>
      </w:r>
      <w:r>
        <w:rPr>
          <w:rFonts w:ascii="Times New Roman" w:cs="Times New Roman" w:eastAsia="Times New Roman" w:hAnsi="Times New Roman"/>
          <w:sz w:val="18"/>
          <w:szCs w:val="18"/>
          <w:color w:val="auto"/>
        </w:rPr>
        <w:t>means a permanent and total disability within the meaning of Section 22(e)(3) of the Code.</w:t>
      </w:r>
    </w:p>
    <w:p>
      <w:pPr>
        <w:spacing w:after="0" w:line="225"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5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Eligible Individuals </w:t>
      </w:r>
      <w:r>
        <w:rPr>
          <w:rFonts w:ascii="Times New Roman" w:cs="Times New Roman" w:eastAsia="Times New Roman" w:hAnsi="Times New Roman"/>
          <w:sz w:val="18"/>
          <w:szCs w:val="18"/>
          <w:color w:val="auto"/>
        </w:rPr>
        <w:t>means any of the following individuals: (i) Directors, officers and Employees of the Company or any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or (ii) Consultants to the Company or any of its Subsidiaries.</w:t>
      </w:r>
    </w:p>
    <w:p>
      <w:pPr>
        <w:spacing w:after="0" w:line="154"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611"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Employee </w:t>
      </w:r>
      <w:r>
        <w:rPr>
          <w:rFonts w:ascii="Times New Roman" w:cs="Times New Roman" w:eastAsia="Times New Roman" w:hAnsi="Times New Roman"/>
          <w:sz w:val="18"/>
          <w:szCs w:val="18"/>
          <w:color w:val="auto"/>
        </w:rPr>
        <w:t>means any person, including officers and Directors, employed by the Company Group. Neither service as a Director nor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of a Director’s fee by the Company will be sufficient to constitute “employment” by the Company.</w:t>
      </w:r>
    </w:p>
    <w:p>
      <w:pPr>
        <w:spacing w:after="0" w:line="158"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61"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Exchange Act means the Securities Exchange Act of 1934, as amended. References to any specific section of the Exchange Act shall be deemed to include such regulations and guidance issued thereunder, as well as any successor section, regulations or guidance.</w:t>
      </w:r>
    </w:p>
    <w:p>
      <w:pPr>
        <w:spacing w:after="0" w:line="157"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Exercise Price </w:t>
      </w:r>
      <w:r>
        <w:rPr>
          <w:rFonts w:ascii="Times New Roman" w:cs="Times New Roman" w:eastAsia="Times New Roman" w:hAnsi="Times New Roman"/>
          <w:sz w:val="18"/>
          <w:szCs w:val="18"/>
          <w:color w:val="auto"/>
        </w:rPr>
        <w:t>means the exercise price per share of Common Stock specified in an Option or Stock Appreciation Right.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561"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Fair Market Value </w:t>
      </w:r>
      <w:r>
        <w:rPr>
          <w:rFonts w:ascii="Times New Roman" w:cs="Times New Roman" w:eastAsia="Times New Roman" w:hAnsi="Times New Roman"/>
          <w:sz w:val="18"/>
          <w:szCs w:val="18"/>
          <w:color w:val="auto"/>
        </w:rPr>
        <w:t>means, as of any date, with respect to shares of Common Stock, (i) if the Common Stock is listed on a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exchange, the closing sales price of the Common Stock reported on the primary exchange on which the Common Stock is listed and traded on such date, or, if there are no such sales on that date, then on the last preceding date on which such sales were reported; (ii) if the Common Stock is not listed on any national securities exchange but is quoted in an inter-dealer quotation system on a last-sale basis, the average between the closing bid price and ask price reported on such date, or, if there is no such sale on that date, then on the last preceding date on which a sale was reported; or (iii) if the Common Stock is not listed on a national securities exchange or quoted in an inter-dealer quotation system on a last-sale basis, the amount determined by the Committee in good faith to be the fair market value of the Common Stock.</w:t>
      </w:r>
    </w:p>
    <w:p>
      <w:pPr>
        <w:spacing w:after="0" w:line="182"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561"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Incentive Stock Option </w:t>
      </w:r>
      <w:r>
        <w:rPr>
          <w:rFonts w:ascii="Times New Roman" w:cs="Times New Roman" w:eastAsia="Times New Roman" w:hAnsi="Times New Roman"/>
          <w:sz w:val="18"/>
          <w:szCs w:val="18"/>
          <w:color w:val="auto"/>
        </w:rPr>
        <w:t>means an Option intended, as expressed in the Award Agreement, to meet the requirements of an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option” as defined in Section 422(b) of the Code and the regulations thereunder.</w:t>
      </w:r>
    </w:p>
    <w:p>
      <w:pPr>
        <w:spacing w:after="0" w:line="154" w:lineRule="exact"/>
        <w:rPr>
          <w:rFonts w:ascii="Times New Roman" w:cs="Times New Roman" w:eastAsia="Times New Roman" w:hAnsi="Times New Roman"/>
          <w:sz w:val="18"/>
          <w:szCs w:val="18"/>
          <w:b w:val="1"/>
          <w:bCs w:val="1"/>
          <w:color w:val="auto"/>
        </w:rPr>
      </w:pPr>
    </w:p>
    <w:p>
      <w:pPr>
        <w:ind w:left="1540" w:hanging="236"/>
        <w:spacing w:after="0"/>
        <w:tabs>
          <w:tab w:leader="none" w:pos="1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Non-Employee Director </w:t>
      </w:r>
      <w:r>
        <w:rPr>
          <w:rFonts w:ascii="Times New Roman" w:cs="Times New Roman" w:eastAsia="Times New Roman" w:hAnsi="Times New Roman"/>
          <w:sz w:val="18"/>
          <w:szCs w:val="18"/>
          <w:color w:val="auto"/>
        </w:rPr>
        <w:t>means a Director who is not an Employee of any member of the Company Group.</w:t>
      </w:r>
    </w:p>
    <w:p>
      <w:pPr>
        <w:spacing w:after="0" w:line="225" w:lineRule="exact"/>
        <w:rPr>
          <w:rFonts w:ascii="Times New Roman" w:cs="Times New Roman" w:eastAsia="Times New Roman" w:hAnsi="Times New Roman"/>
          <w:sz w:val="18"/>
          <w:szCs w:val="18"/>
          <w:b w:val="1"/>
          <w:bCs w:val="1"/>
          <w:color w:val="auto"/>
        </w:rPr>
      </w:pPr>
    </w:p>
    <w:p>
      <w:pPr>
        <w:ind w:left="1540" w:hanging="236"/>
        <w:spacing w:after="0"/>
        <w:tabs>
          <w:tab w:leader="none" w:pos="1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Non-Qualified Stock Option </w:t>
      </w:r>
      <w:r>
        <w:rPr>
          <w:rFonts w:ascii="Times New Roman" w:cs="Times New Roman" w:eastAsia="Times New Roman" w:hAnsi="Times New Roman"/>
          <w:sz w:val="18"/>
          <w:szCs w:val="18"/>
          <w:color w:val="auto"/>
        </w:rPr>
        <w:t>means an Option that is not an Incentive Stock Option.</w:t>
      </w:r>
    </w:p>
    <w:p>
      <w:pPr>
        <w:spacing w:after="0" w:line="225"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521"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Option </w:t>
      </w:r>
      <w:r>
        <w:rPr>
          <w:rFonts w:ascii="Times New Roman" w:cs="Times New Roman" w:eastAsia="Times New Roman" w:hAnsi="Times New Roman"/>
          <w:sz w:val="18"/>
          <w:szCs w:val="18"/>
          <w:color w:val="auto"/>
        </w:rPr>
        <w:t>means a right to purchase shares of Common Stock at a stated price. An Option may either be an Incentive Stock Option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Non-Qualified Stock Option.</w:t>
      </w:r>
    </w:p>
    <w:p>
      <w:pPr>
        <w:spacing w:after="0" w:line="154"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Other Award </w:t>
      </w:r>
      <w:r>
        <w:rPr>
          <w:rFonts w:ascii="Times New Roman" w:cs="Times New Roman" w:eastAsia="Times New Roman" w:hAnsi="Times New Roman"/>
          <w:sz w:val="18"/>
          <w:szCs w:val="18"/>
          <w:color w:val="auto"/>
        </w:rPr>
        <w:t>means an Award designated as an Other Award pursuant to this Plan.</w:t>
      </w:r>
    </w:p>
    <w:p>
      <w:pPr>
        <w:spacing w:after="0" w:line="225"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551"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Participant </w:t>
      </w:r>
      <w:r>
        <w:rPr>
          <w:rFonts w:ascii="Times New Roman" w:cs="Times New Roman" w:eastAsia="Times New Roman" w:hAnsi="Times New Roman"/>
          <w:sz w:val="18"/>
          <w:szCs w:val="18"/>
          <w:color w:val="auto"/>
        </w:rPr>
        <w:t>means an Eligible Individual to whom one or more Awards are or have been granted under this Plan and have not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fully settled or cancelled and, following the Participant’s death, such Participant’s successors, heirs, executors and administrators, as the case may be.</w:t>
      </w:r>
    </w:p>
    <w:p>
      <w:pPr>
        <w:spacing w:after="0" w:line="154" w:lineRule="exact"/>
        <w:rPr>
          <w:rFonts w:ascii="Times New Roman" w:cs="Times New Roman" w:eastAsia="Times New Roman" w:hAnsi="Times New Roman"/>
          <w:sz w:val="18"/>
          <w:szCs w:val="18"/>
          <w:b w:val="1"/>
          <w:bCs w:val="1"/>
          <w:color w:val="auto"/>
        </w:rPr>
      </w:pPr>
    </w:p>
    <w:p>
      <w:pPr>
        <w:ind w:left="1600" w:hanging="296"/>
        <w:spacing w:after="0"/>
        <w:tabs>
          <w:tab w:leader="none" w:pos="16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Person </w:t>
      </w:r>
      <w:r>
        <w:rPr>
          <w:rFonts w:ascii="Times New Roman" w:cs="Times New Roman" w:eastAsia="Times New Roman" w:hAnsi="Times New Roman"/>
          <w:sz w:val="18"/>
          <w:szCs w:val="18"/>
          <w:color w:val="auto"/>
        </w:rPr>
        <w:t>means any individual, entity or group (within the meaning of Section 13(d)(3) or 14(d)(2) of the Exchange Act).</w:t>
      </w:r>
    </w:p>
    <w:p>
      <w:pPr>
        <w:spacing w:after="0" w:line="225"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551"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Plan </w:t>
      </w:r>
      <w:r>
        <w:rPr>
          <w:rFonts w:ascii="Times New Roman" w:cs="Times New Roman" w:eastAsia="Times New Roman" w:hAnsi="Times New Roman"/>
          <w:sz w:val="18"/>
          <w:szCs w:val="18"/>
          <w:color w:val="auto"/>
        </w:rPr>
        <w:t>means this Brag House Holdings, Inc. Amended and Restated 2024 Omnibus Incentive Plan, as set forth herein and as it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from time to time.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left="1560" w:hanging="256"/>
        <w:spacing w:after="0"/>
        <w:tabs>
          <w:tab w:leader="none" w:pos="15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Qualifying Director </w:t>
      </w:r>
      <w:r>
        <w:rPr>
          <w:rFonts w:ascii="Times New Roman" w:cs="Times New Roman" w:eastAsia="Times New Roman" w:hAnsi="Times New Roman"/>
          <w:sz w:val="18"/>
          <w:szCs w:val="18"/>
          <w:color w:val="auto"/>
        </w:rPr>
        <w:t>means a “non-employee director” within the meaning of Rule 16b-3 under the Exchange Act.</w:t>
      </w:r>
    </w:p>
    <w:p>
      <w:pPr>
        <w:spacing w:after="0" w:line="225"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Restricted Stock </w:t>
      </w:r>
      <w:r>
        <w:rPr>
          <w:rFonts w:ascii="Times New Roman" w:cs="Times New Roman" w:eastAsia="Times New Roman" w:hAnsi="Times New Roman"/>
          <w:sz w:val="18"/>
          <w:szCs w:val="18"/>
          <w:color w:val="auto"/>
        </w:rPr>
        <w:t>means a share of Common Stock that may be subject to certain transferability and other restrictions and to a risk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forfeiture (including by reason of not satisfying certain performance goals).</w:t>
      </w:r>
    </w:p>
    <w:p>
      <w:pPr>
        <w:spacing w:after="0" w:line="155" w:lineRule="exact"/>
        <w:rPr>
          <w:sz w:val="20"/>
          <w:szCs w:val="20"/>
          <w:color w:val="auto"/>
        </w:rPr>
      </w:pPr>
    </w:p>
    <w:p>
      <w:pPr>
        <w:ind w:right="20" w:firstLine="1304"/>
        <w:spacing w:after="0" w:line="286" w:lineRule="auto"/>
        <w:tabs>
          <w:tab w:leader="none" w:pos="1668"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Restricted Stock Unit </w:t>
      </w:r>
      <w:r>
        <w:rPr>
          <w:rFonts w:ascii="Times New Roman" w:cs="Times New Roman" w:eastAsia="Times New Roman" w:hAnsi="Times New Roman"/>
          <w:sz w:val="18"/>
          <w:szCs w:val="18"/>
          <w:color w:val="auto"/>
        </w:rPr>
        <w:t>means a right to receive a share of Common Stock at a future date, which may be conditioned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satisfaction of certain requirements (including the satisfaction of certain performance goals).</w:t>
      </w:r>
    </w:p>
    <w:p>
      <w:pPr>
        <w:spacing w:after="0" w:line="154"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674"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Securities Act </w:t>
      </w:r>
      <w:r>
        <w:rPr>
          <w:rFonts w:ascii="Times New Roman" w:cs="Times New Roman" w:eastAsia="Times New Roman" w:hAnsi="Times New Roman"/>
          <w:sz w:val="18"/>
          <w:szCs w:val="18"/>
          <w:color w:val="auto"/>
        </w:rPr>
        <w:t>means the Securities Act of 1933, as amended. References to any specific section of the Securities Act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deemed to include such regulations and guidance issued thereunder, as well as any successor section, regulations or guidance.</w:t>
      </w:r>
    </w:p>
    <w:p>
      <w:pPr>
        <w:spacing w:after="0" w:line="154"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162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Stock Appreciation Right </w:t>
      </w:r>
      <w:r>
        <w:rPr>
          <w:rFonts w:ascii="Times New Roman" w:cs="Times New Roman" w:eastAsia="Times New Roman" w:hAnsi="Times New Roman"/>
          <w:sz w:val="18"/>
          <w:szCs w:val="18"/>
          <w:color w:val="auto"/>
        </w:rPr>
        <w:t>means a right to receive, with respect to each share of Common Stock subject to such Stock Appreciation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 value in an amount equal to the excess, if any, of (i) the Fair Market Value of a share of Common Stock on the day of exercise or the trading day immediately preceding the date of exercise, as determined by the Committee in its reasonable discretion over (ii) the Exercise Price of such Stock Appreciation Right.</w:t>
      </w:r>
    </w:p>
    <w:p>
      <w:pPr>
        <w:spacing w:after="0" w:line="176" w:lineRule="exact"/>
        <w:rPr>
          <w:rFonts w:ascii="Times New Roman" w:cs="Times New Roman" w:eastAsia="Times New Roman" w:hAnsi="Times New Roman"/>
          <w:sz w:val="18"/>
          <w:szCs w:val="18"/>
          <w:b w:val="1"/>
          <w:bCs w:val="1"/>
          <w:color w:val="auto"/>
        </w:rPr>
      </w:pPr>
    </w:p>
    <w:p>
      <w:pPr>
        <w:jc w:val="both"/>
        <w:ind w:firstLine="1304"/>
        <w:spacing w:after="0" w:line="259" w:lineRule="auto"/>
        <w:tabs>
          <w:tab w:leader="none" w:pos="1674"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Sub-Plan </w:t>
      </w:r>
      <w:r>
        <w:rPr>
          <w:rFonts w:ascii="Times New Roman" w:cs="Times New Roman" w:eastAsia="Times New Roman" w:hAnsi="Times New Roman"/>
          <w:sz w:val="18"/>
          <w:szCs w:val="18"/>
          <w:color w:val="auto"/>
        </w:rPr>
        <w:t>means any sub-plan to the Plan that has been adopted by the Board or the Committee for the purpose of permitting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facilitating the offering of Awards to Employees of certain designated Subsidiaries organized under the laws of any jurisdiction other than the United States of America or otherwise outside the jurisdiction of the United States of America, with each such Sub-Plan designed to comply with applicable law in such foreign jurisdictions. Although any Sub-Plan may be designated a separate and independent plan from the Plan in order to comply with applicable law, the Plan Share Reserve and the other limits specified in Section 4 of the Plan shall apply in the aggregate to the Plan and any Sub-Plan adopted hereunder.</w:t>
      </w:r>
    </w:p>
    <w:p>
      <w:pPr>
        <w:spacing w:after="0" w:line="179" w:lineRule="exact"/>
        <w:rPr>
          <w:rFonts w:ascii="Times New Roman" w:cs="Times New Roman" w:eastAsia="Times New Roman" w:hAnsi="Times New Roman"/>
          <w:sz w:val="18"/>
          <w:szCs w:val="18"/>
          <w:b w:val="1"/>
          <w:bCs w:val="1"/>
          <w:color w:val="auto"/>
        </w:rPr>
      </w:pPr>
    </w:p>
    <w:p>
      <w:pPr>
        <w:ind w:left="1620" w:hanging="316"/>
        <w:spacing w:after="0"/>
        <w:tabs>
          <w:tab w:leader="none" w:pos="162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Subsidiaries </w:t>
      </w:r>
      <w:r>
        <w:rPr>
          <w:rFonts w:ascii="Times New Roman" w:cs="Times New Roman" w:eastAsia="Times New Roman" w:hAnsi="Times New Roman"/>
          <w:sz w:val="18"/>
          <w:szCs w:val="18"/>
          <w:color w:val="auto"/>
        </w:rPr>
        <w:t>has the meaning given to such term by Section 424 of the Code.</w:t>
      </w:r>
    </w:p>
    <w:p>
      <w:pPr>
        <w:spacing w:after="0" w:line="225"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594"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Termination </w:t>
      </w:r>
      <w:r>
        <w:rPr>
          <w:rFonts w:ascii="Times New Roman" w:cs="Times New Roman" w:eastAsia="Times New Roman" w:hAnsi="Times New Roman"/>
          <w:sz w:val="18"/>
          <w:szCs w:val="18"/>
          <w:color w:val="auto"/>
        </w:rPr>
        <w:t>means the termination of a Participant’s employment or service, as applicable, with the Company or Subsidiary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such Participant was principally employed or to which such Participant provided services, for any reason (including death or Disability).</w:t>
      </w:r>
    </w:p>
    <w:p>
      <w:pPr>
        <w:spacing w:after="0" w:line="154"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9" w:lineRule="auto"/>
        <w:tabs>
          <w:tab w:leader="none" w:pos="1551"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The Committee shall administer the Plan. To the extent required to comply with the provisions of Rule 16b-3 promulgated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Exchange Act (if the Board is not acting as the Committee under the Plan), it is intended that each member of the Committee shall, at the time such member takes any action with respect to an Award under the Plan that is intended to qualify for the exemptions provided by Rule 16b-3 promulgated under the Exchange Act, be a Qualifying Director. However, the fact that a Committee member shall fail to qualify as a Qualifying Director shall not invalidate any Award granted by the Committee that is otherwise validly granted under the Plan.</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581"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Committee Authority</w:t>
      </w:r>
      <w:r>
        <w:rPr>
          <w:rFonts w:ascii="Times New Roman" w:cs="Times New Roman" w:eastAsia="Times New Roman" w:hAnsi="Times New Roman"/>
          <w:sz w:val="18"/>
          <w:szCs w:val="18"/>
          <w:color w:val="auto"/>
        </w:rPr>
        <w:t>. Subject to the provisions of the Plan and applicable law, the Committee shall have the sole and plenary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in addition to other express powers and authorizations conferred on the Committee by the Plan, to (i) designate Participants; (ii) determine the type or types of Awards to be granted to a Participant; (iii) determine the number of shares of Common Stock to be covered by, or with respect to which payments, rights, or other matters are to be calculated in connection with, Awards; (iv) determine the terms and conditions of any Award; (v) determine whether, to what extent, and under what circumstances Awards may be settled in, or exercised for, cash, shares of Common Stock, other securities, other Awards or other property, or canceled, forfeited, or suspended and the method or methods by which Awards may be settled, exercised, canceled, forfeited, or suspended; (vi) determine whether, to what extent, and under what circumstances the delivery of cash, shares of Common Stock, other securities, other Awards, or other property and other amounts payable with respect to an Award shall be deferred either automatically or at the election of the Participant or of the Committee; (vii) approve forms of Award Agreements for use under the Plan; (viii) interpret, administer, reconcile any inconsistency in, correct any defect in and/or supply any omission in the Plan and any instrument or agreement relating to, or Award granted under, the Plan; (ix) establish, amend, suspend, or waive any rules and regulations and appoint such agents as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t>Committee shall deem appropriate for the proper administration of the Plan; (x) adopt Sub-Plans; and (xi) make any other determination and take any other action that the Committee deems necessary or desirable for the administration of the Plan.</w:t>
      </w:r>
    </w:p>
    <w:p>
      <w:pPr>
        <w:spacing w:after="0" w:line="158" w:lineRule="exact"/>
        <w:rPr>
          <w:sz w:val="20"/>
          <w:szCs w:val="20"/>
          <w:color w:val="auto"/>
        </w:rPr>
      </w:pPr>
    </w:p>
    <w:p>
      <w:pPr>
        <w:jc w:val="both"/>
        <w:ind w:firstLine="1304"/>
        <w:spacing w:after="0" w:line="257" w:lineRule="auto"/>
        <w:tabs>
          <w:tab w:leader="none" w:pos="1541"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w:t>
      </w:r>
      <w:r>
        <w:rPr>
          <w:rFonts w:ascii="Times New Roman" w:cs="Times New Roman" w:eastAsia="Times New Roman" w:hAnsi="Times New Roman"/>
          <w:sz w:val="18"/>
          <w:szCs w:val="18"/>
          <w:color w:val="auto"/>
        </w:rPr>
        <w:t>. Except to the extent prohibited by applicable law, the Committee may allocate all or any portion of its responsibilities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the Company the authority to act on behalf of the Committee with respect to any matter, right, obligation, or election which is the responsibility of, or which is allocated to, the Committee herein, and which may be so delegated in accordance with applicable law, except with respect to grants of Awards to Persons (i) who are Non-Employee Directors, or (ii) who are subject to Section 16 of the Exchange Act.</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1579"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Finality of Decisions</w:t>
      </w:r>
      <w:r>
        <w:rPr>
          <w:rFonts w:ascii="Times New Roman" w:cs="Times New Roman" w:eastAsia="Times New Roman" w:hAnsi="Times New Roman"/>
          <w:sz w:val="18"/>
          <w:szCs w:val="18"/>
          <w:color w:val="auto"/>
        </w:rPr>
        <w:t>. Unless otherwise expressly provided in the Plan, all designations, determinations, interpretations,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decisions under or with respect to the Plan, any Award or any Award Agreement shall be within the sole discretion of the Committee, may be made at any time and shall be final, conclusive and binding upon all Persons, including, without limitation, the Company Group, any Participant, any holder or beneficiary of any Award, and any stockholder of the Company.</w:t>
      </w:r>
    </w:p>
    <w:p>
      <w:pPr>
        <w:spacing w:after="0" w:line="176"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541"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No member of the Board or the Committee or any Employee or agent of any member of the Company (each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an “</w:t>
      </w:r>
      <w:r>
        <w:rPr>
          <w:rFonts w:ascii="Times New Roman" w:cs="Times New Roman" w:eastAsia="Times New Roman" w:hAnsi="Times New Roman"/>
          <w:sz w:val="18"/>
          <w:szCs w:val="18"/>
          <w:b w:val="1"/>
          <w:bCs w:val="1"/>
          <w:i w:val="1"/>
          <w:iCs w:val="1"/>
          <w:color w:val="auto"/>
        </w:rPr>
        <w:t>Indemnifiable Person</w:t>
      </w:r>
      <w:r>
        <w:rPr>
          <w:rFonts w:ascii="Times New Roman" w:cs="Times New Roman" w:eastAsia="Times New Roman" w:hAnsi="Times New Roman"/>
          <w:sz w:val="18"/>
          <w:szCs w:val="18"/>
          <w:color w:val="auto"/>
        </w:rPr>
        <w:t>”)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or determination made with respect to the Plan or any Award hereunder.</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1527"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Authority</w:t>
      </w:r>
      <w:r>
        <w:rPr>
          <w:rFonts w:ascii="Times New Roman" w:cs="Times New Roman" w:eastAsia="Times New Roman" w:hAnsi="Times New Roman"/>
          <w:sz w:val="18"/>
          <w:szCs w:val="18"/>
          <w:color w:val="auto"/>
        </w:rPr>
        <w:t>. Notwithstanding anything to the contrary contained in the Plan, the Board may, in its sole discretion,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from time to time, grant Awards and administer the Plan with respect to such Awards. Any such actions by the Board shall be subject to the applicable rules of the securities exchange or inter-dealer quotation system on which the Common Stock is listed or quoted. In any such case, the Board shall have all the authority granted to the Committee under the Plan.</w:t>
      </w:r>
    </w:p>
    <w:p>
      <w:pPr>
        <w:spacing w:after="0" w:line="176"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AWARDS IN GENERAL.</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558"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Available for Awards</w:t>
      </w:r>
      <w:r>
        <w:rPr>
          <w:rFonts w:ascii="Times New Roman" w:cs="Times New Roman" w:eastAsia="Times New Roman" w:hAnsi="Times New Roman"/>
          <w:sz w:val="18"/>
          <w:szCs w:val="18"/>
          <w:color w:val="auto"/>
        </w:rPr>
        <w:t>. Subject to the provisions of Section 10, the aggregate number of shares of Common Stock which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issued under the Plan and with respect to which Awards may be made is 100,000,000 shares (the “</w:t>
      </w:r>
      <w:r>
        <w:rPr>
          <w:rFonts w:ascii="Times New Roman" w:cs="Times New Roman" w:eastAsia="Times New Roman" w:hAnsi="Times New Roman"/>
          <w:sz w:val="18"/>
          <w:szCs w:val="18"/>
          <w:b w:val="1"/>
          <w:bCs w:val="1"/>
          <w:i w:val="1"/>
          <w:iCs w:val="1"/>
          <w:color w:val="auto"/>
        </w:rPr>
        <w:t>Plan Share Reserve</w:t>
      </w:r>
      <w:r>
        <w:rPr>
          <w:rFonts w:ascii="Times New Roman" w:cs="Times New Roman" w:eastAsia="Times New Roman" w:hAnsi="Times New Roman"/>
          <w:sz w:val="18"/>
          <w:szCs w:val="18"/>
          <w:color w:val="auto"/>
        </w:rPr>
        <w:t>”). The Plan Share Reserve shall be increased (but not decreased) on the first day of each fiscal year beginning with the 2027 fiscal year, in an amount equal to the lesser of (i) ten percent (10.0%) of the outstanding shares of Common Stock on the last day of the immediately preceding fiscal year and (ii) an amount determined by the Board. The shares may be authorized and unissued or issued and reacquired shares, as the Board from time to time may determine. Shares with respect to which Options or Stock Appreciation Rights are not exercised prior to termination of the Option or Stock Appreciation Right, shares that are subject to Restricted Stock Units which expire without converting to Common Stock, and shares of Restricted Stock which are forfeited before the restrictions lapse, shall be available for issuance under the Plan. Notwithstanding the foregoing, neither (i) shares accepted by the Company in payment of the Exercise Price of any Option, if permitted under the terms of such Option, (ii) any shares withheld from a Participant, or delivered to the Company in satisfaction of required withholding taxes arising from Awards under the Plan, nor (iii) the difference between the total number of shares with respect to which a Stock Appreciation Right is awarded and the number of shares actually delivered upon exercise of such Stock Appreciation Right, shall be available for reissuance under the Plan.</w:t>
      </w:r>
    </w:p>
    <w:p>
      <w:pPr>
        <w:spacing w:after="0" w:line="189"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568"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Limitations</w:t>
      </w:r>
      <w:r>
        <w:rPr>
          <w:rFonts w:ascii="Times New Roman" w:cs="Times New Roman" w:eastAsia="Times New Roman" w:hAnsi="Times New Roman"/>
          <w:sz w:val="18"/>
          <w:szCs w:val="18"/>
          <w:color w:val="auto"/>
        </w:rPr>
        <w:t>. Subject to Section 10 of the Plan, no more than the number of shares of Common Stock equal to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Reserve may be issued in the aggregate pursuant to the exercise of Incentive Stock Options granted under the Plan.</w:t>
      </w:r>
    </w:p>
    <w:p>
      <w:pPr>
        <w:spacing w:after="0" w:line="154"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574"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Substitute Awards. </w:t>
      </w:r>
      <w:r>
        <w:rPr>
          <w:rFonts w:ascii="Times New Roman" w:cs="Times New Roman" w:eastAsia="Times New Roman" w:hAnsi="Times New Roman"/>
          <w:sz w:val="18"/>
          <w:szCs w:val="18"/>
          <w:color w:val="auto"/>
        </w:rPr>
        <w:t>Awards may, in the sole discretion of the Committee, be granted under the Plan in assumption of,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substitution for, outstanding awards previously granted by an entity directly or indirectly acquired by the Company or with which a member of the Company Group combines (“Substitute </w:t>
      </w:r>
      <w:r>
        <w:rPr>
          <w:rFonts w:ascii="Times New Roman" w:cs="Times New Roman" w:eastAsia="Times New Roman" w:hAnsi="Times New Roman"/>
          <w:sz w:val="18"/>
          <w:szCs w:val="18"/>
          <w:b w:val="1"/>
          <w:bCs w:val="1"/>
          <w:i w:val="1"/>
          <w:iCs w:val="1"/>
          <w:color w:val="auto"/>
        </w:rPr>
        <w:t>Awards</w:t>
      </w:r>
      <w:r>
        <w:rPr>
          <w:rFonts w:ascii="Times New Roman" w:cs="Times New Roman" w:eastAsia="Times New Roman" w:hAnsi="Times New Roman"/>
          <w:sz w:val="18"/>
          <w:szCs w:val="18"/>
          <w:color w:val="auto"/>
        </w:rPr>
        <w:t xml:space="preserve">”). Substitute Awards shall not be counted against the Plan Share 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Substitute Awards issued in connection with the assumption of, or in substitution for, outstanding options intended to qualify as Incentive Stock Options shall be counted against the aggregate number of shares of Common Stock available for Awards of Incentive Stock Options under the Plan. Subject to applicable stock exchange requirements, available shares under a stockholder-approved plan of an entity directly or indirectly acquired by the Company or with which a member of the Company Group combines (as appropriately adjusted to reflect the acquisition or combination transaction) may be used for Awards under the Plan and shall not reduce the number of shares of Common Stock available for issuance under the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840" w:hanging="184"/>
        <w:spacing w:after="0"/>
        <w:tabs>
          <w:tab w:leader="none" w:pos="8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w:t>
      </w:r>
      <w:r>
        <w:rPr>
          <w:rFonts w:ascii="Times New Roman" w:cs="Times New Roman" w:eastAsia="Times New Roman" w:hAnsi="Times New Roman"/>
          <w:sz w:val="18"/>
          <w:szCs w:val="18"/>
          <w:color w:val="auto"/>
        </w:rPr>
        <w:t>. The Committee may, from time to time, in its discretion grant Awards to Participants from among the Eligible Individuals.</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3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OPTIONS</w:t>
      </w:r>
      <w:r>
        <w:rPr>
          <w:rFonts w:ascii="Times New Roman" w:cs="Times New Roman" w:eastAsia="Times New Roman" w:hAnsi="Times New Roman"/>
          <w:sz w:val="18"/>
          <w:szCs w:val="18"/>
          <w:color w:val="auto"/>
        </w:rPr>
        <w:t>. The Committee is hereby authorized to grant Awards of Options to Eligible Individuals. The terms and conditions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Option shall be set forth in an Award Agreement between the Company and the Participant on such terms and conditions as may be deemed advisable by the Committee in its discretion, but not inconsistent with the following:</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1571"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The Committee shall establish the Exercise Price of each Option and specify the Exercise Price in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The Exercise Price shall be no less than 100% of the Fair Market Value on the date the Option is granted.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the per share Exercise Price shall be no less than 110% of the Fair Market Value on the date the Option is granted.</w:t>
      </w:r>
    </w:p>
    <w:p>
      <w:pPr>
        <w:spacing w:after="0" w:line="182" w:lineRule="exact"/>
        <w:rPr>
          <w:rFonts w:ascii="Times New Roman" w:cs="Times New Roman" w:eastAsia="Times New Roman" w:hAnsi="Times New Roman"/>
          <w:sz w:val="18"/>
          <w:szCs w:val="18"/>
          <w:b w:val="1"/>
          <w:bCs w:val="1"/>
          <w:color w:val="auto"/>
        </w:rPr>
      </w:pPr>
    </w:p>
    <w:p>
      <w:pPr>
        <w:ind w:left="1580" w:hanging="276"/>
        <w:spacing w:after="0"/>
        <w:tabs>
          <w:tab w:leader="none" w:pos="1580"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of Option. </w:t>
      </w:r>
      <w:r>
        <w:rPr>
          <w:rFonts w:ascii="Times New Roman" w:cs="Times New Roman" w:eastAsia="Times New Roman" w:hAnsi="Times New Roman"/>
          <w:sz w:val="18"/>
          <w:szCs w:val="18"/>
          <w:color w:val="auto"/>
        </w:rPr>
        <w:t>The Committee may designate the term of an Option in the 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term shall not</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exceed ten years.</w:t>
      </w:r>
    </w:p>
    <w:p>
      <w:pPr>
        <w:spacing w:after="0" w:line="202"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541"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Options may be exercised by delivery to the Company of a written notice of exercise, in a form approved by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may be an electronic form), signed by the person authorized to exercise the Option, together with payment in full (i) as specified in Section 5(d) hereof for the number of shares for which the Option is exercised, and (ii) as specified in Section 15 hereof for any applicable withholding taxes, as applicable. Unless otherwise determined by the Committee, an Option may not be exercised for a fraction of a share of Common Stock. If an Option is designated as an Incentive Stock Option, the Participant shall give prompt notice to the Company of any disposition or other transfer of any shares of Common Stock acquired from the Option if such disposition or transfer is made (i) within two years from the grant date with respect to such Option or (ii) within one year after the transfer of such shares to the Participant (other than any such disposition made in connection with a Change in Control). Such notice shall specify the date of such disposition or other transfer and the amount realized, in cash, other property, assumption of indebtedness or other consideration, by the Participant in such disposition or other transfer.</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157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The Exercise Price multiplied by the number of shares to be purchased by exercise of the Option shall be paid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thereof. Upon exercise of the Option, the aggregate Exercise Price shall be payable in the manner provided by the applicable Award Agreement, which may include, without limitation payment in the form of: (i) cash or check in the amount equal to such aggregate Exercise Price, (ii) shares of Common Stock owned by the Participant having a Fair Market Value at least equal to such aggregate Exercise Price on the day of exercise or the trading day immediately preceding the date of exercise as determined by the Committee in its reasonable discretion, (iii) any cashless exercise mechanism, or (iv) a combination of any of the above methods which total to such aggregate Exercise Price.</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543"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Applicable to Incentive Stock Options</w:t>
      </w:r>
      <w:r>
        <w:rPr>
          <w:rFonts w:ascii="Times New Roman" w:cs="Times New Roman" w:eastAsia="Times New Roman" w:hAnsi="Times New Roman"/>
          <w:sz w:val="18"/>
          <w:szCs w:val="18"/>
          <w:color w:val="auto"/>
        </w:rPr>
        <w:t>. It is intended that Incentive Stock Options shall conform to the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422 and 424 of the Code. To the extent that the aggregate Fair Market Value of the Common Stock, with respect to which Incentive Stock Options granted under this or any other Plan of the Company are exercisable for the first time by a Participant during any calendar year exceeds $100,000, or such other amount as may be permitted under the Code, such excess shall be considered Non-Qualified Stock Options. Notwithstanding anything in the Plan to the contrary, any Incentive Stock Option awarded to any Participant who, at the time of the Award, is the owner, directly or indirectly, of stock possessing more than ten percent (10%) of the total combined voting power of all classes of stock of the Company or any Subsidiary, shall (i) have a term not exceeding five years from the date of grant, and (ii) shall have an Exercise Price per share of not less than 110% of the Fair Market Value of the Common Stock on the date the Incentive Stock Option is granted.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firstLine="1304"/>
        <w:spacing w:after="0" w:line="262" w:lineRule="auto"/>
        <w:tabs>
          <w:tab w:leader="none" w:pos="1534"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 Rights</w:t>
      </w:r>
      <w:r>
        <w:rPr>
          <w:rFonts w:ascii="Times New Roman" w:cs="Times New Roman" w:eastAsia="Times New Roman" w:hAnsi="Times New Roman"/>
          <w:sz w:val="18"/>
          <w:szCs w:val="18"/>
          <w:color w:val="auto"/>
        </w:rPr>
        <w:t>. A holder of an Option shall have none of the rights of a stockholder until the shares are issued to him or 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 Participant exercises an Option and the appropriate purchase price is received by the Company in accordance with this Section 6(c)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any dividend record date, such Participant shall be entitled to receive the dividends which would be paid on the shares subject to such exercise if such shares were outstanding on such record date. In no event shall dividends be paid with respect to Options prior to their exercise.</w:t>
      </w:r>
    </w:p>
    <w:p>
      <w:pPr>
        <w:spacing w:after="0" w:line="176" w:lineRule="exact"/>
        <w:rPr>
          <w:rFonts w:ascii="Times New Roman" w:cs="Times New Roman" w:eastAsia="Times New Roman" w:hAnsi="Times New Roman"/>
          <w:sz w:val="18"/>
          <w:szCs w:val="18"/>
          <w:b w:val="1"/>
          <w:bCs w:val="1"/>
          <w:color w:val="auto"/>
        </w:rPr>
      </w:pPr>
    </w:p>
    <w:p>
      <w:pPr>
        <w:jc w:val="both"/>
        <w:ind w:right="20" w:firstLine="656"/>
        <w:spacing w:after="0" w:line="268" w:lineRule="auto"/>
        <w:tabs>
          <w:tab w:leader="none" w:pos="841"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GRANTS OF STOCK APPRECIATION RIGHTS</w:t>
      </w:r>
      <w:r>
        <w:rPr>
          <w:rFonts w:ascii="Times New Roman" w:cs="Times New Roman" w:eastAsia="Times New Roman" w:hAnsi="Times New Roman"/>
          <w:sz w:val="18"/>
          <w:szCs w:val="18"/>
          <w:color w:val="auto"/>
        </w:rPr>
        <w:t>. The Committee is hereby authorized to grant Awards of Stock Appreciation Rights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Individuals. The terms and conditions of each Stock Appreciation Right shall be set forth in an Award Agreement between the Company and the Participant on such terms and conditions as may be deemed advisable by the Committee in its discretion, but not inconsistent with the following:</w:t>
      </w:r>
    </w:p>
    <w:p>
      <w:pPr>
        <w:spacing w:after="0" w:line="170"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Number of Shares. </w:t>
      </w:r>
      <w:r>
        <w:rPr>
          <w:rFonts w:ascii="Times New Roman" w:cs="Times New Roman" w:eastAsia="Times New Roman" w:hAnsi="Times New Roman"/>
          <w:sz w:val="18"/>
          <w:szCs w:val="18"/>
          <w:color w:val="auto"/>
        </w:rPr>
        <w:t>The Committee shall have complete discretion to determine the number of shares subject to any Award of Stock</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Appreciation Rights.</w:t>
      </w:r>
    </w:p>
    <w:p>
      <w:pPr>
        <w:spacing w:after="0" w:line="202"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561"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The Exercise Price of a Stock Appreciation Right shall be determined by the Committee but shall not less than 100%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Fair Market Value of the Company’s Common Stock on the date the Stock Appreciation Right is granted.</w:t>
      </w:r>
    </w:p>
    <w:p>
      <w:pPr>
        <w:spacing w:after="0" w:line="154" w:lineRule="exact"/>
        <w:rPr>
          <w:rFonts w:ascii="Times New Roman" w:cs="Times New Roman" w:eastAsia="Times New Roman" w:hAnsi="Times New Roman"/>
          <w:sz w:val="18"/>
          <w:szCs w:val="18"/>
          <w:b w:val="1"/>
          <w:bCs w:val="1"/>
          <w:color w:val="auto"/>
        </w:rPr>
      </w:pPr>
    </w:p>
    <w:p>
      <w:pPr>
        <w:jc w:val="both"/>
        <w:ind w:right="20" w:firstLine="1304"/>
        <w:spacing w:after="0" w:line="268" w:lineRule="auto"/>
        <w:tabs>
          <w:tab w:leader="none" w:pos="1547"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Exercise</w:t>
      </w:r>
      <w:r>
        <w:rPr>
          <w:rFonts w:ascii="Times New Roman" w:cs="Times New Roman" w:eastAsia="Times New Roman" w:hAnsi="Times New Roman"/>
          <w:sz w:val="18"/>
          <w:szCs w:val="18"/>
          <w:color w:val="auto"/>
        </w:rPr>
        <w:t>. The Committee may designate the term of a Stock Appreciation Right in the Award Agreement, provided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shall not exceed ten years. During such term, a Stock Appreciation Right shall be exercisable at such times and under such conditions as shall be permissible under the terms of this Plan and of the Award Agreement.</w:t>
      </w:r>
    </w:p>
    <w:p>
      <w:pPr>
        <w:spacing w:after="0" w:line="170"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568"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Tandem Awards</w:t>
      </w:r>
      <w:r>
        <w:rPr>
          <w:rFonts w:ascii="Times New Roman" w:cs="Times New Roman" w:eastAsia="Times New Roman" w:hAnsi="Times New Roman"/>
          <w:sz w:val="18"/>
          <w:szCs w:val="18"/>
          <w:color w:val="auto"/>
        </w:rPr>
        <w:t>. Stock Appreciation Rights may be awarded on a stand-alone basis or in tandem with an Option. Notwithstanding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provision of this Plan, any Stock Appreciation Right awarded in tandem with an Option:</w:t>
      </w:r>
    </w:p>
    <w:p>
      <w:pPr>
        <w:spacing w:after="0" w:line="158" w:lineRule="exact"/>
        <w:rPr>
          <w:rFonts w:ascii="Times New Roman" w:cs="Times New Roman" w:eastAsia="Times New Roman" w:hAnsi="Times New Roman"/>
          <w:sz w:val="18"/>
          <w:szCs w:val="18"/>
          <w:b w:val="1"/>
          <w:bCs w:val="1"/>
          <w:color w:val="auto"/>
        </w:rPr>
      </w:pPr>
    </w:p>
    <w:p>
      <w:pPr>
        <w:ind w:left="2280" w:hanging="328"/>
        <w:spacing w:after="0" w:line="282" w:lineRule="auto"/>
        <w:tabs>
          <w:tab w:leader="none" w:pos="228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entitle the Participant to exercise all or a portion of the Stock Appreciation Right in lieu of all or a portion of the Option,</w:t>
      </w:r>
    </w:p>
    <w:p>
      <w:pPr>
        <w:spacing w:after="0" w:line="161" w:lineRule="exact"/>
        <w:rPr>
          <w:rFonts w:ascii="Times New Roman" w:cs="Times New Roman" w:eastAsia="Times New Roman" w:hAnsi="Times New Roman"/>
          <w:sz w:val="18"/>
          <w:szCs w:val="18"/>
          <w:color w:val="auto"/>
        </w:rPr>
      </w:pPr>
    </w:p>
    <w:p>
      <w:pPr>
        <w:ind w:left="2280" w:hanging="328"/>
        <w:spacing w:after="0" w:line="282" w:lineRule="auto"/>
        <w:tabs>
          <w:tab w:leader="none" w:pos="228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vest and expire on the same dates as the underlying Option and shall utilize the same Exercise Price as the underlying Option, and</w:t>
      </w:r>
    </w:p>
    <w:p>
      <w:pPr>
        <w:spacing w:after="0" w:line="161" w:lineRule="exact"/>
        <w:rPr>
          <w:rFonts w:ascii="Times New Roman" w:cs="Times New Roman" w:eastAsia="Times New Roman" w:hAnsi="Times New Roman"/>
          <w:sz w:val="18"/>
          <w:szCs w:val="18"/>
          <w:color w:val="auto"/>
        </w:rPr>
      </w:pPr>
    </w:p>
    <w:p>
      <w:pPr>
        <w:jc w:val="both"/>
        <w:ind w:left="2280" w:hanging="328"/>
        <w:spacing w:after="0" w:line="266" w:lineRule="auto"/>
        <w:tabs>
          <w:tab w:leader="none" w:pos="228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may be exercised only to the extent that the related Option has not been exercised. The exercise of Stock Appreciation Rights granted in tandem with an Option shall result in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surrender of the related Option to the extent that the Stock Appreciation Rights have been exercised.</w:t>
      </w:r>
    </w:p>
    <w:p>
      <w:pPr>
        <w:spacing w:after="0" w:line="171"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65"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Stock Appreciation Right</w:t>
      </w:r>
      <w:r>
        <w:rPr>
          <w:rFonts w:ascii="Times New Roman" w:cs="Times New Roman" w:eastAsia="Times New Roman" w:hAnsi="Times New Roman"/>
          <w:sz w:val="18"/>
          <w:szCs w:val="18"/>
          <w:color w:val="auto"/>
        </w:rPr>
        <w:t>. Upon exercise of a Stock Appreciation Right, a Participant will be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from the Company in an amount determined by multiplying (i) the difference between the Fair Market Value of a share of Stock subject to the Stock Appreciation Right on the date of exercise over the exercise price; times (ii) the number of shares with respect to which the Stock Appreciation Right is exercised.</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At the discretion of the Committee, the payment upon exercise of a Stock Appreciation Right may be in cash, in shares of equivalent value, or in some combination thereof, as specified in the applicable Award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ind w:firstLine="1304"/>
        <w:spacing w:after="0" w:line="255" w:lineRule="auto"/>
        <w:tabs>
          <w:tab w:leader="none" w:pos="1483"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AND RESTRICTED STOCK UNITS</w:t>
      </w:r>
      <w:r>
        <w:rPr>
          <w:rFonts w:ascii="Times New Roman" w:cs="Times New Roman" w:eastAsia="Times New Roman" w:hAnsi="Times New Roman"/>
          <w:sz w:val="18"/>
          <w:szCs w:val="18"/>
          <w:color w:val="auto"/>
        </w:rPr>
        <w:t>. The Committee is hereby authorized to grant Awards of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or the right to purchase Restricted Stock, to Eligible Individuals, subject to the right of the Company to repurchase all or part of such shares at their issue price or other stated or formula price from the Participant (or to require forfeiture of such shares if issued at no cost) in the event that conditions specified by the Committee in the applicable Award Agreement are not satisfied prior to the end of the applicable restriction period or periods established by the Committee for such Award. In addition, the Committee may grant Eligible Individuals Restricted Stock Units, which may be subject to vesting and forfeiture conditions during applicable restriction period or periods, as set forth in an applicable Award Agreement. The terms and conditions of each Award of Restricted Stock or Restricted Stock Units shall be set forth in an Award Agreement between the Company and the Participant on such terms and conditions as may be deemed advisable by the Committee in its discretion, but not inconsistent with the following:</w:t>
      </w:r>
    </w:p>
    <w:p>
      <w:pPr>
        <w:spacing w:after="0" w:line="185" w:lineRule="exact"/>
        <w:rPr>
          <w:sz w:val="20"/>
          <w:szCs w:val="20"/>
          <w:color w:val="auto"/>
        </w:rPr>
      </w:pPr>
    </w:p>
    <w:p>
      <w:pPr>
        <w:jc w:val="both"/>
        <w:ind w:firstLine="1304"/>
        <w:spacing w:after="0" w:line="254" w:lineRule="auto"/>
        <w:tabs>
          <w:tab w:leader="none" w:pos="1558"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 Period</w:t>
      </w:r>
      <w:r>
        <w:rPr>
          <w:rFonts w:ascii="Times New Roman" w:cs="Times New Roman" w:eastAsia="Times New Roman" w:hAnsi="Times New Roman"/>
          <w:sz w:val="18"/>
          <w:szCs w:val="18"/>
          <w:color w:val="auto"/>
        </w:rPr>
        <w:t>. The Committee shall determine the events or conditions necessary for the lapse of restrictions applicable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award of Restricted Stock or Restricted Stock Units, which may include, among other things, requirements of continuous service for a specified term or the attainment of specific performance standards or goals, which restrictions may differ among Participants. Upon the lapse of the restriction period and the attainment of any other vesting criteria established by the Committee, with respect to any outstanding Restricted Stock Units, the Company shall deliver to the Participant one share of Common Stock (or cash in lieu of delivering shares, as the case may be) for each such outstanding and vested Restricted Stock Unit;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Committee may elect to defer the delivery of Common Stock beyond the expiration of the restricted period only (i) with written permission of the participant, and (ii) if such extension would not cause adverse tax consequences under Section 409A of the Code. Award Agreements for Restricted Stock and Restricted Stock Units shall provide for forfeiture of Common Stock covered thereby to the extent the Restricted Stock or Restricted Stock Units do not vest during the restricted period specified in the Award Agreement, except as the Committee may otherwise determine in the Award Agreement.</w:t>
      </w:r>
    </w:p>
    <w:p>
      <w:pPr>
        <w:spacing w:after="0" w:line="185"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595"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 Rights</w:t>
      </w:r>
      <w:r>
        <w:rPr>
          <w:rFonts w:ascii="Times New Roman" w:cs="Times New Roman" w:eastAsia="Times New Roman" w:hAnsi="Times New Roman"/>
          <w:sz w:val="18"/>
          <w:szCs w:val="18"/>
          <w:color w:val="auto"/>
        </w:rPr>
        <w:t>. Except to the extent restricted under the Award Agreement relating to the Restricted Stock, a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receiving Restricted Stock shall be entitled the rights of a stockholder with respect to such Restricted Stock, including the right to receive dividends and vote shares of Restricted Stock, upon the expiration of the applicable restriction period. Until Common Stock is issued to the Participant in settlement of Restricted Stock Units, the Participant shall not have any rights of a stockholder with respect to the Restricted Stock Units or the shares issuable thereunder. The Committee may determine in the applicable Award Agreement whether and to what extent the recipient of Restricted Stock Units has the rights of a stockholder of the Company including, but not limited to, whether the Participant receiving the Award has the right to vote the shares or to receive dividends or dividend equivalents upon the expiration of the applicable restriction period.</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83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AWARDS</w:t>
      </w:r>
      <w:r>
        <w:rPr>
          <w:rFonts w:ascii="Times New Roman" w:cs="Times New Roman" w:eastAsia="Times New Roman" w:hAnsi="Times New Roman"/>
          <w:sz w:val="18"/>
          <w:szCs w:val="18"/>
          <w:color w:val="auto"/>
        </w:rPr>
        <w:t>. The Committee may, in its sole discretion, grant Awards of Common Stock, including fully vested Common Stock,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Awards that are valued in whole or in part by reference to the Fair Market Value of Common Stock. These Awards shall collectively be referred to herein as Other Awards. Other Awards shall be in such form, and dependent on such conditions, as the Committee shall determine, including, but not limited to, the right to receive fully vested shares. Subject to the other terms of the Plan, Other Awards may be granted to such Eligible Individuals in such amounts and upon such terms, and at any time and from time to time, as shall be determined by the Committee and set forth in an Award Agreement.</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23"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IN THE EVENT OF CHANGE IN STOCK</w:t>
      </w:r>
      <w:r>
        <w:rPr>
          <w:rFonts w:ascii="Times New Roman" w:cs="Times New Roman" w:eastAsia="Times New Roman" w:hAnsi="Times New Roman"/>
          <w:sz w:val="18"/>
          <w:szCs w:val="18"/>
          <w:color w:val="auto"/>
        </w:rPr>
        <w:t>. Subject to Section 11, if there is any change in the number or kind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Company Stock outstanding (a) by reason of a stock dividend, spinoff, recapitalization, stock split, or combination or exchange of shares; (b) by reason of a merger, reorganization, or consolidation; (c) by reason of a reclassification or change in par value; or (d) by reason of any other extraordinary or unusual event affecting the outstanding Company Stock as a class without the Company’s receipt of consideration, or if the value of outstanding shares of Company Stock is substantially reduced as a result of a spinoff or the Company’s payment of an extraordinary dividend or distribution, the maximum number of shares of Company Stock available for Awards, the number of shares covered by outstanding Awards, the kind of shares issued under the Plan, and the price per share of such Awards shall be adjusted by the Board to reflect any increase or decrease in the number of, or change in the kind or value of, issued shares of Company Stock to preclude the enlargement or dilution of rights and benefits under such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fractional shares resulting from such adjustment shall be eliminated. Any adjustments determined by the Board shall be final, binding, and conclusive.</w:t>
      </w:r>
    </w:p>
    <w:p>
      <w:pPr>
        <w:spacing w:after="0" w:line="188" w:lineRule="exact"/>
        <w:rPr>
          <w:rFonts w:ascii="Times New Roman" w:cs="Times New Roman" w:eastAsia="Times New Roman" w:hAnsi="Times New Roman"/>
          <w:sz w:val="18"/>
          <w:szCs w:val="18"/>
          <w:b w:val="1"/>
          <w:bCs w:val="1"/>
          <w:color w:val="auto"/>
        </w:rPr>
      </w:pPr>
    </w:p>
    <w:p>
      <w:pPr>
        <w:ind w:left="940" w:hanging="284"/>
        <w:spacing w:after="0"/>
        <w:tabs>
          <w:tab w:leader="none" w:pos="9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A CHANGE OF CONTROL</w:t>
      </w:r>
      <w:r>
        <w:rPr>
          <w:rFonts w:ascii="Times New Roman" w:cs="Times New Roman" w:eastAsia="Times New Roman" w:hAnsi="Times New Roman"/>
          <w:sz w:val="18"/>
          <w:szCs w:val="18"/>
          <w:color w:val="auto"/>
        </w:rPr>
        <w:t>. Except to the extent reflected in a particular Award Agreement, in the event of a Change of</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Control:</w:t>
      </w:r>
    </w:p>
    <w:p>
      <w:pPr>
        <w:spacing w:after="0" w:line="202"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573"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 of Awards</w:t>
      </w:r>
      <w:r>
        <w:rPr>
          <w:rFonts w:ascii="Times New Roman" w:cs="Times New Roman" w:eastAsia="Times New Roman" w:hAnsi="Times New Roman"/>
          <w:sz w:val="18"/>
          <w:szCs w:val="18"/>
          <w:color w:val="auto"/>
        </w:rPr>
        <w:t>. Upon a Change of Control where the Company is not the surviving corporation (or survives only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of another corporation), unless the Committee determines otherwise, all outstanding Awards shall be assumed by, or replaced with comparable Awards by, the surviving corporation (or a parent or subsidiary of the surviving corporation).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firstLine="1304"/>
        <w:spacing w:after="0" w:line="259" w:lineRule="auto"/>
        <w:tabs>
          <w:tab w:leader="none" w:pos="1583" w:val="left"/>
        </w:tabs>
        <w:numPr>
          <w:ilvl w:val="2"/>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Awards</w:t>
      </w:r>
      <w:r>
        <w:rPr>
          <w:rFonts w:ascii="Times New Roman" w:cs="Times New Roman" w:eastAsia="Times New Roman" w:hAnsi="Times New Roman"/>
          <w:sz w:val="18"/>
          <w:szCs w:val="18"/>
          <w:color w:val="auto"/>
        </w:rPr>
        <w:t>. Upon a Change of Control where the Company is not the surviving corporation (or survives only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of another corporation), in the event the surviving corporation (or a parent or subsidiary of the surviving corporation) does not assume or replace the Awards with comparable Awards, (i) the Company shall provide each Participant with outstanding Awards written notice of such Change of Control,</w:t>
      </w:r>
    </w:p>
    <w:p>
      <w:pPr>
        <w:jc w:val="both"/>
        <w:ind w:firstLine="8"/>
        <w:spacing w:after="0" w:line="251" w:lineRule="auto"/>
        <w:tabs>
          <w:tab w:leader="none" w:pos="2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Options and Stock Appreciation Rights shall become immediately exercisable with respect to 100% of the shares or rights subject thereto, (iii) the Restricted Stock that is subject to time-based vesting and not subject to achievement of performance goals shall become fully vested and all restrictions shall expire immediately, (iv) the Restricted Stock that is subject to achievement of performance goals and not subject to time-based vesting shall, unless the Award Agreement provides for vesting or earning in a greater amount upon the occurrence of a Change of Control, become vested, free of restrictions, in such amounts as determined by the Committee as if the applicable performance goals for the unexpired performance period had been achieved at least at the target level set forth in the applicable Award Agreement and the corresponding number of shares of Restricted Stock shall vest, (v) the Restricted Stock Units that are subject to time-based vesting and not subject to achievement of performance goals shall become fully vested and the shares of Common Stock subject to such Restricted Stock Units shall be delivered as promptly as practicable, subject to any limitations imposed thereon by Section 409A of the Code, and (vi) the Restricted Stock Units that are subject to achievement of performance goals and not subject to time-based vesting shall, unless the Award Agreement provides for vesting or earning in a greater amount upon the occurrence of a Change of Control, become vested and earned in such amounts as determined by the Committee as if the applicable performance goals for the unexpired performance period had been achieved at least at the target level set forth in the applicable Award Agreement and the corresponding number of shares of Common Stock subject to such Restricted Stock Units shall be delivered as promptly as practicable, subject to any limitations imposed thereon by Section 409A of the Code.</w:t>
      </w:r>
    </w:p>
    <w:p>
      <w:pPr>
        <w:spacing w:after="0" w:line="187"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41" w:val="left"/>
        </w:tabs>
        <w:numPr>
          <w:ilvl w:val="2"/>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Alternatives</w:t>
      </w:r>
      <w:r>
        <w:rPr>
          <w:rFonts w:ascii="Times New Roman" w:cs="Times New Roman" w:eastAsia="Times New Roman" w:hAnsi="Times New Roman"/>
          <w:sz w:val="18"/>
          <w:szCs w:val="18"/>
          <w:color w:val="auto"/>
        </w:rPr>
        <w:t>. Notwithstanding the foregoing, in the event of a Change of Control, the Committee may, in its discretion, cancel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outstanding Options, Stock Appreciation Rights or Restricted Stock Awards, and pay to the holders thereof, in cash, the value of such Awards based upon the highest price per share of Common Stock received or to be received by other stockholders of the Company in connection with the Change of Control.</w:t>
      </w:r>
    </w:p>
    <w:p>
      <w:pPr>
        <w:spacing w:after="0" w:line="176"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TRANSFER.</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564"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Each Award shall be exercisable only by such Participant to whom such Award was granted during the Participant’s lifetime, or, if permissible under applicable law, by the Participant’s legal guardian or representative. No Award may be assigned, alienated, pledged, attached, sold or otherwise transferred or encumbered by a Participant (unless such transfer is specifically required pursuant to a domestic relations order or by applicable law) other than by will or by the laws of descent and distribution, and any such purported assignment, alienation, pledge, attachment, sale, transfer or encumbrance shall be void and unenforceable against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designation of a beneficiary shall not constitute an assignment, alienation, pledge, attachment, sale, transfer or encumbrance.</w:t>
      </w:r>
    </w:p>
    <w:p>
      <w:pPr>
        <w:spacing w:after="0" w:line="187"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561"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(i) any person who is a “family member” of the Participant, as such term is used in the instructions to Form S-8 under the Securities Act or any successor form of registration statement promulgated by the Securities and Exchange Commission (collectively, the “</w:t>
      </w:r>
      <w:r>
        <w:rPr>
          <w:rFonts w:ascii="Times New Roman" w:cs="Times New Roman" w:eastAsia="Times New Roman" w:hAnsi="Times New Roman"/>
          <w:sz w:val="18"/>
          <w:szCs w:val="18"/>
          <w:b w:val="1"/>
          <w:bCs w:val="1"/>
          <w:i w:val="1"/>
          <w:iCs w:val="1"/>
          <w:color w:val="auto"/>
        </w:rPr>
        <w:t>Immediate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Family Members</w:t>
      </w:r>
      <w:r>
        <w:rPr>
          <w:rFonts w:ascii="Times New Roman" w:cs="Times New Roman" w:eastAsia="Times New Roman" w:hAnsi="Times New Roman"/>
          <w:sz w:val="18"/>
          <w:szCs w:val="18"/>
          <w:color w:val="auto"/>
        </w:rPr>
        <w:t>”); (ii) a trust solely for the benefit of the Participant and the Participant’s Immediate Family Members; (iii) a partnership or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liability company whose only partners or stockholders are the Participant and the Participant’s Immediate Family Members; or (iv) a beneficiary to whom donations are eligible to be treated as “charitable contributions” for federal income tax purposes (each transferee described in clauses (i), (ii), (iii) and (iv) above is hereinafter referred to as a “</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94"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540"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any Award transferred in accordance with clause (b) above shall apply to the Permitted Transferee and any reference in the Plan, or in any applicable Award Agreement, to a Participant shall be deemed to refer to the Permitted Transferee, except that (i) Permitted Transferees shall not be entitled to transfer any Award, other than by will or the laws of descent and distribution; (ii)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(iii) neither the Committee nor the Company shall be required to provide any notice to a Permitted Transferee, whether or not such notice is or would otherwise have been required to be given to the Participant under the Plan or otherwise; and (iv) the consequences of a Participant’s Termination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ind w:left="920" w:hanging="264"/>
        <w:spacing w:after="0"/>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DISCONTINUANCE.</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1551"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Board may from time to time amend or revise the terms of the Plan, or may discontinue the Plan at any time as permitted by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amendment shall not (except as provided in Section 10), without further approval of the stockholders, (i) increase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number of shares with respect to which Awards may be made under the Plan, (ii) change the manner of determining the Exercise Price (other than determining the Fair Market Value of the Common Stock to conform with applicable provisions of the Code or regulations and interpretations thereunder), or (iii) extend the term of the Plan or the maximum period during which any Option may be exercised.</w:t>
      </w:r>
    </w:p>
    <w:p>
      <w:pPr>
        <w:spacing w:after="0" w:line="183"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61"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amendments, revision or discontinuance of the Plan shall, without the written consent of a Participant, in any manner adversely affect his or her rights under any Award theretofore granted under the Plan.</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40"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herein to the contrary, the Company shall not, without stockholder approval, reduce the Exercise Price of any Option or Stock Appreciation Right and shall not exchange any Option or Stock Appreciation Right for a new Award with a lower (or no) Exercise Price or for cash.</w:t>
      </w:r>
    </w:p>
    <w:p>
      <w:pPr>
        <w:spacing w:after="0" w:line="171"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918"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AND DURATION</w:t>
      </w:r>
      <w:r>
        <w:rPr>
          <w:rFonts w:ascii="Times New Roman" w:cs="Times New Roman" w:eastAsia="Times New Roman" w:hAnsi="Times New Roman"/>
          <w:sz w:val="18"/>
          <w:szCs w:val="18"/>
          <w:color w:val="auto"/>
        </w:rPr>
        <w:t>. The original 2024 Omnibus Incentive Plan was adopted by the Board of Directors on June 11,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approved by the stockholders on June 13, 2024 to become effective on the business day immediately prior to the effective date of the Company’s registration statement related to its Initial Public Offering (“IPO”). The Plan was adopted by the Board of Directors on December 31, 2024 and approved by the stockholders on January 30, 2025 and became effective February 13, 2025, (the business day immediately prior to the effective date of the Company’s registration statement related to its IPO). No Award may be granted under the Plan after December 31, 2034.</w:t>
      </w:r>
    </w:p>
    <w:p>
      <w:pPr>
        <w:spacing w:after="0" w:line="18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Plan, as further amended and restated, was approved by the Board of Directors on January 30, 2026 and approved by the stockholders at the special meeting of stockholders held on April 7, 2026.</w:t>
      </w:r>
    </w:p>
    <w:p>
      <w:pPr>
        <w:spacing w:after="0" w:line="158" w:lineRule="exact"/>
        <w:rPr>
          <w:sz w:val="20"/>
          <w:szCs w:val="20"/>
          <w:color w:val="auto"/>
        </w:rPr>
      </w:pPr>
    </w:p>
    <w:p>
      <w:pPr>
        <w:jc w:val="both"/>
        <w:ind w:firstLine="656"/>
        <w:spacing w:after="0" w:line="256" w:lineRule="auto"/>
        <w:tabs>
          <w:tab w:leader="none" w:pos="918"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WITHHOLDING</w:t>
      </w:r>
      <w:r>
        <w:rPr>
          <w:rFonts w:ascii="Times New Roman" w:cs="Times New Roman" w:eastAsia="Times New Roman" w:hAnsi="Times New Roman"/>
          <w:sz w:val="18"/>
          <w:szCs w:val="18"/>
          <w:color w:val="auto"/>
        </w:rPr>
        <w:t>. Notwithstanding any other provision of the Plan, the Company or its Subsidiaries, as appropriate, shall have the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deduct from all Awards under the Plan cash and/or stock, with a Fair Market Value in the amount of all federal, state or local withholding taxes (up to the maximum permissible statutory tax rate for the applicable tax jurisdiction, to the extent consistent with applicable law) with respect to such Awards. In the case of Awards paid in Common Stock, the Participant or Permitted Transferee may be required to pay to the Company or a Subsidiary thereof, as appropriate, the amount of any such taxes which the Company or Subsidiary is required to withhold, if any, with respect to such stock. Subject in particular cases to the disapproval of the Committee, the Company may accept shares of the Company’s Common Stock of equivalent Fair Market Value in payment of such withholding tax obligations if the Participant elects to make payment in such manner.</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82" w:lineRule="auto"/>
        <w:tabs>
          <w:tab w:leader="none" w:pos="918"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GOVERNING LAW</w:t>
      </w:r>
      <w:r>
        <w:rPr>
          <w:rFonts w:ascii="Times New Roman" w:cs="Times New Roman" w:eastAsia="Times New Roman" w:hAnsi="Times New Roman"/>
          <w:sz w:val="17"/>
          <w:szCs w:val="17"/>
          <w:color w:val="auto"/>
        </w:rPr>
        <w:t>. The Plan shall be governed by and construed in accordance with the internal laws of the State of Delaware applicable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contracts made and performed wholly within the State of Delaware, without giving effect to the conflict of laws provisions thereof. EACH PARTICIPANT WHO ACCEPTS AN AWARD IRREVOCABLY WAIVES ALL RIGHT TO A TRIAL BY JURY IN ANY SUIT, ACTION, OR OTHER PROCEEDING INSTITUTED BY OR AGAINST SUCH PARTICIPANT IN RESPECT OF THE PARTICIPANT’S RIGHTS OR OBLIGATIONS HEREUNDER.</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left="920" w:hanging="264"/>
        <w:spacing w:after="0"/>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AND OTHER REGULATIONS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2" w:lineRule="auto"/>
        <w:tabs>
          <w:tab w:leader="none" w:pos="1551" w:val="left"/>
        </w:tabs>
        <w:numPr>
          <w:ilvl w:val="2"/>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obligation of the Company to settle Awards in shares of Common Stock or other consideration shall be subject to all applicable law.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(if the Company has requested such an opinion),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Common Stock to be offered or sold under the Plan. The Committee shall have the authority to provide that all shares of Common Stock or other securities of the Company issued under the Plan shall be subject to such stop-transfer orders and other restrictions as the Committee may deem advisable under the Plan, the applicable Award Agreement and applicable law, and, without limiting the generality of Section 8 of the Plan, the Committee may cause a legend or legends to be put on certificates representing shares of Common Stock or other securities of the Company issued under the Plan to make appropriate reference to such restrictions or may cause such Common Stock or other securities of the Company issued under the Plan in book-entry form to be held subject to the Company’s instructions or subject to appropriate stop-transfer orders. Notwithstanding any provision in the Plan to the contrary, the Committee reserves the right to add, at any time, any additional terms or provisions to any Award granted under the Plan that the Committee, in its sole discretion, deems necessary or advisable in order that such Award complies with the legal requirements of any governmental entity to whose jurisdiction the Award is subject.</w:t>
      </w:r>
    </w:p>
    <w:p>
      <w:pPr>
        <w:spacing w:after="0" w:line="195"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561" w:val="left"/>
        </w:tabs>
        <w:numPr>
          <w:ilvl w:val="2"/>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Committee may cancel an Award or any portion thereof if it determines, in its sole discretion,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the Company shall, subject to any limitations or reductions as may be necessary to comply with Section 409A of the Code,</w:t>
      </w:r>
    </w:p>
    <w:p>
      <w:pPr>
        <w:spacing w:after="0" w:line="3" w:lineRule="exact"/>
        <w:rPr>
          <w:rFonts w:ascii="Times New Roman" w:cs="Times New Roman" w:eastAsia="Times New Roman" w:hAnsi="Times New Roman"/>
          <w:sz w:val="18"/>
          <w:szCs w:val="18"/>
          <w:b w:val="1"/>
          <w:bCs w:val="1"/>
          <w:color w:val="auto"/>
        </w:rPr>
      </w:pPr>
    </w:p>
    <w:p>
      <w:pPr>
        <w:jc w:val="both"/>
        <w:ind w:firstLine="8"/>
        <w:spacing w:after="0" w:line="250" w:lineRule="auto"/>
        <w:tabs>
          <w:tab w:leader="none" w:pos="22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to the Participant an amount equal to the excess of (A) the aggregate Fair Market Value of the shares of Common Stock subject to such Award or portion thereof canceled (determined as of the applicable exercise date, or the date that the shares would have been vested or issued, as applicable); over</w:t>
      </w: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aggregate Exercise Price or any amount payable as a condition of issuance of shares of Common Stock (in the case of any other Award). Such amount shall be delivered to the Participant as soon as practicable following the cancellation of such Award or portion thereof, or (ii) in the case of Restricted Stock, Restricted Stock Units or Other Awards, provide the Participant with a cash payment or equity subject to deferred vesting and delivery consistent with the vesting restrictions applicable to such Restricted Stock, Restricted Stock Units or Other Awards, or the underlying shares in respect thereof.</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964"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CLAIM TO AWARDS; NO RIGHTS TO CONTINUED EMPLOYMENT; WAIVER</w:t>
      </w:r>
      <w:r>
        <w:rPr>
          <w:rFonts w:ascii="Times New Roman" w:cs="Times New Roman" w:eastAsia="Times New Roman" w:hAnsi="Times New Roman"/>
          <w:sz w:val="18"/>
          <w:szCs w:val="18"/>
          <w:color w:val="auto"/>
        </w:rPr>
        <w:t>. No Employee of the Company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any member of the Company Group, nor shall it be construed as giving any Participant any rights to continued service on the Board. The applicable member of the Company Group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except to the extent of any provision to the contrary in any written employment contract or other agreement between any member of the Company Group and the Participant, whether any such agreement is executed before, on or after the date of grant.</w:t>
      </w:r>
    </w:p>
    <w:p>
      <w:pPr>
        <w:spacing w:after="0" w:line="189"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952"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INTERNATIONAL PARTICIPANTS</w:t>
      </w:r>
      <w:r>
        <w:rPr>
          <w:rFonts w:ascii="Times New Roman" w:cs="Times New Roman" w:eastAsia="Times New Roman" w:hAnsi="Times New Roman"/>
          <w:sz w:val="18"/>
          <w:szCs w:val="18"/>
          <w:color w:val="auto"/>
        </w:rPr>
        <w:t>. With respect to Participants who reside or work outside of the United States of America,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may, in its sole discretion, amend the terms of the Plan and create or amend Sub-Plans or amend outstanding Awards with respect to such Participants in order to permit or facilitate participation in the Plan by such Participants, conform such terms with the requirements of applicable law or to obtain more favorable tax or other treatment for a Participant or the applicable member of the Company Group.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ind w:firstLine="656"/>
        <w:spacing w:after="0" w:line="254" w:lineRule="auto"/>
        <w:tabs>
          <w:tab w:leader="none" w:pos="94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Except as otherwise provided in an Award Agreement, unless determined otherwise by the Committee at any point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such event: (a) neither a temporary absence from employment or service due to illness, vacation or leave of absence (including, without limitation, a call to active duty for military service through a Reserve or National Guard unit) nor a transfer from employment or service with one member of the Company Group to employment or service with another member of the Company Group (or vice-versa) shall be considered a Termination; and (b) if a Participant undergoes a Termination, but such Participant continues to provide services to any member of the Company Group in a non-Employee capacity, such change in status shall not be considered a Termination for purposes of the Plan. Further, unless otherwise determined by the Committee, in the event that any member of the Company Group ceases to be a member of the Company Group (by reason of sale, divestiture, spin-off or other similar transaction), unless a Participant’s employment or service is transferred to another entity that would constitute a member of the Company Group immediately following such transaction, such Participant shall be deemed to have suffered a Termination hereunder as of the date of the consummation of such transaction.</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931"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of the Plan or any Award or Award Agreement is or becomes or is deemed to be invalid, illegal,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Award and the remainder of the Plan and any such Award shall remain in full force and effect.</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31"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The obligations of the Company under the Plan shall be binding upon any successor corporation or organization resulting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merger, consolidation or other reorganization of the Company, or upon any successor corporation or organization succeeding to substantially all of the assets and business of the Company.</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31"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CLAWBACK/REPAYMENT</w:t>
      </w:r>
      <w:r>
        <w:rPr>
          <w:rFonts w:ascii="Times New Roman" w:cs="Times New Roman" w:eastAsia="Times New Roman" w:hAnsi="Times New Roman"/>
          <w:sz w:val="18"/>
          <w:szCs w:val="18"/>
          <w:color w:val="auto"/>
        </w:rPr>
        <w:t>. All Awards shall be subject to reduction, cancellation, forfeiture or recoupment to the extent necessary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comply with (a) any clawback, forfeiture or other similar policy adopted by the Board or the Committee and as in effect from time to time; and (b) applicable law.</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18"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 APPROVAL. </w:t>
      </w:r>
      <w:r>
        <w:rPr>
          <w:rFonts w:ascii="Times New Roman" w:cs="Times New Roman" w:eastAsia="Times New Roman" w:hAnsi="Times New Roman"/>
          <w:sz w:val="18"/>
          <w:szCs w:val="18"/>
          <w:color w:val="auto"/>
        </w:rPr>
        <w:t>The Plan will be subject to the approval by the stockholders of the Company within 12 months after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is adopted by the Board. Such stockholder approval will be obtained in the manner and to the degree required under applicable law.</w:t>
      </w:r>
    </w:p>
    <w:p>
      <w:pPr>
        <w:spacing w:after="0" w:line="154"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409A OF THE CODE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551"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 provision of the Plan to the contrary, it is intended that the provisions of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(including any taxes and penalties under Section 409A of the Code), and neither the Company nor any member of the Company Group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separate payments.</w:t>
      </w:r>
    </w:p>
    <w:p>
      <w:pPr>
        <w:spacing w:after="0" w:line="188"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1"/>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Notwithstanding anything in the Plan to the contrary, if a Participant is a “specified employee” within the meaning of Section 409A(a)</w:t>
      </w:r>
    </w:p>
    <w:p>
      <w:pPr>
        <w:spacing w:after="0" w:line="38" w:lineRule="exact"/>
        <w:rPr>
          <w:rFonts w:ascii="Times New Roman" w:cs="Times New Roman" w:eastAsia="Times New Roman" w:hAnsi="Times New Roman"/>
          <w:sz w:val="17"/>
          <w:szCs w:val="17"/>
          <w:b w:val="1"/>
          <w:bCs w:val="1"/>
          <w:color w:val="auto"/>
        </w:rPr>
      </w:pPr>
    </w:p>
    <w:p>
      <w:pPr>
        <w:jc w:val="both"/>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(2)(B)(i) of the Code, no payments in respect of any Awards that are “deferred compensation” subject to Section 409A of the Code and which would otherwise be payable upon the Participant’s “separation from service” (as defined in Section 409A of the Code) shall be made to such Participant prior to the date that is six months after the date of such Participant’s “separation from service” or, if earlier, the date of the Participant’s death. Following any applicable six month delay, all such delayed payments will be paid in a single lump sum on the earliest date permitted under Section 409A of the Code that is also a business day.</w:t>
      </w:r>
    </w:p>
    <w:p>
      <w:pPr>
        <w:spacing w:after="0" w:line="186" w:lineRule="exact"/>
        <w:rPr>
          <w:rFonts w:ascii="Times New Roman" w:cs="Times New Roman" w:eastAsia="Times New Roman" w:hAnsi="Times New Roman"/>
          <w:sz w:val="17"/>
          <w:szCs w:val="17"/>
          <w:b w:val="1"/>
          <w:bCs w:val="1"/>
          <w:color w:val="auto"/>
        </w:rPr>
      </w:pPr>
    </w:p>
    <w:p>
      <w:pPr>
        <w:jc w:val="both"/>
        <w:ind w:firstLine="1304"/>
        <w:spacing w:after="0" w:line="256" w:lineRule="auto"/>
        <w:tabs>
          <w:tab w:leader="none" w:pos="1540"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by the Committee in an Award Agreement or otherwise, in the event that the timing of payments in respect of any Award (that would otherwise be considered “deferred compensation” subject to Section 409A of the Code) would be accelerated upon the occurrence of (i)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or (ii) a Disability, no such acceleration shall be permitted unless the Disability also satisfies the definition of “Disability” pursuant to Section 409A of the Code.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156845</wp:posOffset>
            </wp:positionV>
            <wp:extent cx="2374265" cy="5746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2374265" cy="57467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156845</wp:posOffset>
            </wp:positionV>
            <wp:extent cx="1183005" cy="1911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118300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Brag House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 Park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Montclair, NJ 07042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color w:val="auto"/>
        </w:rPr>
        <w:t>Form S-8 Registration Statement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acted as counsel to Brag House Holdings, Inc., a Delaware corporation (the “Company”), in connection with a registration statement on Form S-8 (the “Registration Statement”) to be filed on May 26, 2026 with the Securities and Exchange Commission (the “Commission”) pursuant to the Securities Act of 1933, as amended (the “Securities Act”), for the registration of 103,548,024 shares of the Company’s common stock, par value $0.0001 per share (the “Shares”), consisting of (i) 100,000,000 Shares reserved for issuance pursuant to the Company’s Amended and Restated 2024 Omnibus Incentive Plan (the “Plan”) and (ii) 3,548,024 Shares to be offered for resale by certain selling stockholders pursuant to the reoffer prospectus included in the Registration Statement.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participated in the preparation of the Registration Statement and have reviewed the originals or copies certified or otherwise identified to our satisfaction of all such corporate records of the Company and such other instruments and other certificates of public officials, officers and representatives of the Company and such other persons, and we have made such investigations of law, as we have deemed appropriate as a basis for the opinion expressed below.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foregoing, and subject to the further assumptions and qualifications set forth below, it is our opinion that the Shares have been duly authorized by all necessary corporate action of the Company and, when issued in accordance with the terms of the Plan, at prices not less than the par value thereof, will be validly issued, fully paid and non-assessable.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render this opinion only with respect to, and we express no opinion herein concerning the application or effect of the laws of any jurisdiction other than, the existing laws of the State of Delaware.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use of this opinion as a part (Exhibit 5.1) of the Registration Statement. In giving such consent, we do not thereby admit that we are within the category of persons whose consent is required under Section 7 of the Securities Act or the Rules and Regulations of the Commission thereunder. The opinion expressed herein is rendered on and as of the date hereof, and we assume no obligation to advise you, or to make any investigations, as to any legal developments or factual matters arising subsequent to the date hereof that might affect the opinion expressed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Lucosky Brookman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Lucosky Brookman LLP</w:t>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30, 2026 with respect to the financial statements of Brag House Holdings, Inc. for the year ended December 31, 2025 included in the Annual Report on Form 10-K.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CBIZ CPA</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P.C.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May 7, 2025 with respect to the financial statements of Brag House Holdings, Inc. for the year ended December 31, 2024 included in the Annual Report on Form 10-K.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Brag House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 w:type="dxa"/>
            <w:vAlign w:val="bottom"/>
          </w:tcPr>
          <w:p>
            <w:pPr>
              <w:spacing w:after="0"/>
              <w:rPr>
                <w:sz w:val="12"/>
                <w:szCs w:val="12"/>
                <w:color w:val="auto"/>
              </w:rPr>
            </w:pPr>
          </w:p>
        </w:tc>
        <w:tc>
          <w:tcPr>
            <w:tcW w:w="246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20" w:type="dxa"/>
            <w:vAlign w:val="bottom"/>
            <w:vMerge w:val="restart"/>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0" w:type="dxa"/>
            <w:vAlign w:val="bottom"/>
            <w:gridSpan w:val="2"/>
            <w:vMerge w:val="continue"/>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4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Common Stock, par value</w:t>
            </w: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103,548,024</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$ 0.6450</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66,788,475.48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$ 9,223.49</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2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$0.0001 per share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Offering Amounts:</w:t>
            </w:r>
          </w:p>
        </w:tc>
        <w:tc>
          <w:tcPr>
            <w:tcW w:w="1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66,788,475.48</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9,223.49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$ 9,223.49</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1" w:lineRule="auto"/>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par value $0.0001 per share (the “Common Stock”), of Brag House Holdings, Inc., consisting of (i) 100,000,000 shares reserved for issuance that may be issued to participants under the Registrant’s Amended and Restated 2024 Omnibus Incentive Plan (the “Stock Incentive Plan”) and (ii) 3,548,024 shares that may be reoffered and resold by certain officers and directors of the Registrant pursuant to the Reoffer Prospectus, which have been or may be issued pursuant to the Stock Incentive Plan.</w:t>
      </w:r>
    </w:p>
    <w:p>
      <w:pPr>
        <w:spacing w:after="0" w:line="179" w:lineRule="exact"/>
        <w:rPr>
          <w:rFonts w:ascii="Times New Roman" w:cs="Times New Roman" w:eastAsia="Times New Roman" w:hAnsi="Times New Roman"/>
          <w:sz w:val="18"/>
          <w:szCs w:val="18"/>
          <w:color w:val="auto"/>
        </w:rPr>
      </w:pPr>
    </w:p>
    <w:p>
      <w:pPr>
        <w:jc w:val="both"/>
        <w:ind w:left="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there are also being registered any additional shares of Common Stock attributable to these registered shares which become issuable under the Stock Incentive Plan by reason of any stock dividend, stock split, recapitalization or other similar transaction effected without the Registrant’s receipt of consideration which results in an increase in the number of the outstanding shares of the Common Stock.</w:t>
      </w:r>
    </w:p>
    <w:p>
      <w:pPr>
        <w:spacing w:after="0" w:line="179"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which was computed in accordance with Rule 457(c) and Rule 457(h)(1) under the Securities Act, on the basis of the average of the high and low sales prices per share of the Common Stock as reported on the Nasdaq Stock Market on May 19, 2026.</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4"/>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
    <w:nsid w:val="436C6125"/>
    <w:multiLevelType w:val="hybridMultilevel"/>
    <w:lvl w:ilvl="0">
      <w:lvlJc w:val="left"/>
      <w:lvlText w:val="%1"/>
      <w:numFmt w:val="lowerLetter"/>
      <w:start w:val="1"/>
    </w:lvl>
    <w:lvl w:ilvl="1">
      <w:lvlJc w:val="left"/>
      <w:lvlText w:val="(%2)"/>
      <w:numFmt w:val="decimal"/>
      <w:start w:val="2"/>
    </w:lvl>
  </w:abstractNum>
  <w:abstractNum w:abstractNumId="9">
    <w:nsid w:val="628C895D"/>
    <w:multiLevelType w:val="hybridMultilevel"/>
    <w:lvl w:ilvl="0">
      <w:lvlJc w:val="left"/>
      <w:lvlText w:val="(%1)"/>
      <w:numFmt w:val="lowerLetter"/>
      <w:start w:val="2"/>
    </w:lvl>
    <w:lvl w:ilvl="1">
      <w:lvlJc w:val="left"/>
      <w:lvlText w:val="%2"/>
      <w:numFmt w:val="decimal"/>
      <w:start w:val="1"/>
    </w:lvl>
  </w:abstractNum>
  <w:abstractNum w:abstractNumId="10">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
    <w:nsid w:val="721DA317"/>
    <w:multiLevelType w:val="hybridMultilevel"/>
    <w:lvl w:ilvl="0">
      <w:lvlJc w:val="left"/>
      <w:lvlText w:val="(%1)"/>
      <w:numFmt w:val="lowerLetter"/>
      <w:start w:val="7"/>
    </w:lvl>
  </w:abstractNum>
  <w:abstractNum w:abstractNumId="12">
    <w:nsid w:val="2443A858"/>
    <w:multiLevelType w:val="hybridMultilevel"/>
    <w:lvl w:ilvl="0">
      <w:lvlJc w:val="left"/>
      <w:lvlText w:val="(%1)"/>
      <w:numFmt w:val="lowerLetter"/>
      <w:start w:val="25"/>
    </w:lvl>
  </w:abstractNum>
  <w:abstractNum w:abstractNumId="13">
    <w:nsid w:val="2D1D5AE9"/>
    <w:multiLevelType w:val="hybridMultilevel"/>
    <w:lvl w:ilvl="0">
      <w:lvlJc w:val="left"/>
      <w:lvlText w:val="%1"/>
      <w:numFmt w:val="decimal"/>
      <w:start w:val="1"/>
    </w:lvl>
    <w:lvl w:ilvl="1">
      <w:lvlJc w:val="left"/>
      <w:lvlText w:val="(%2)"/>
      <w:numFmt w:val="lowerLetter"/>
      <w:start w:val="27"/>
    </w:lvl>
  </w:abstractNum>
  <w:abstractNum w:abstractNumId="14">
    <w:nsid w:val="6763845E"/>
    <w:multiLevelType w:val="hybridMultilevel"/>
    <w:lvl w:ilvl="0">
      <w:lvlJc w:val="left"/>
      <w:lvlText w:val="%1."/>
      <w:numFmt w:val="decimal"/>
      <w:start w:val="3"/>
    </w:lvl>
    <w:lvl w:ilvl="1">
      <w:lvlJc w:val="left"/>
      <w:lvlText w:val="(%2)"/>
      <w:numFmt w:val="lowerLetter"/>
      <w:start w:val="1"/>
    </w:lvl>
  </w:abstractNum>
  <w:abstractNum w:abstractNumId="15">
    <w:nsid w:val="75A2A8D4"/>
    <w:multiLevelType w:val="hybridMultilevel"/>
    <w:lvl w:ilvl="0">
      <w:lvlJc w:val="left"/>
      <w:lvlText w:val="%1"/>
      <w:numFmt w:val="decimal"/>
      <w:start w:val="1"/>
    </w:lvl>
    <w:lvl w:ilvl="1">
      <w:lvlJc w:val="left"/>
      <w:lvlText w:val="(%2)"/>
      <w:numFmt w:val="lowerLetter"/>
      <w:start w:val="3"/>
    </w:lvl>
  </w:abstractNum>
  <w:abstractNum w:abstractNumId="16">
    <w:nsid w:val="8EDBDAB"/>
    <w:multiLevelType w:val="hybridMultilevel"/>
    <w:lvl w:ilvl="0">
      <w:lvlJc w:val="left"/>
      <w:lvlText w:val="%1."/>
      <w:numFmt w:val="decimal"/>
      <w:start w:val="4"/>
    </w:lvl>
    <w:lvl w:ilvl="1">
      <w:lvlJc w:val="left"/>
      <w:lvlText w:val="(%2)"/>
      <w:numFmt w:val="lowerLetter"/>
      <w:start w:val="1"/>
    </w:lvl>
  </w:abstractNum>
  <w:abstractNum w:abstractNumId="17">
    <w:nsid w:val="79838CB2"/>
    <w:multiLevelType w:val="hybridMultilevel"/>
    <w:lvl w:ilvl="0">
      <w:lvlJc w:val="left"/>
      <w:lvlText w:val="%1."/>
      <w:numFmt w:val="decimal"/>
      <w:start w:val="5"/>
    </w:lvl>
    <w:lvl w:ilvl="1">
      <w:lvlJc w:val="left"/>
      <w:lvlText w:val="(%2)"/>
      <w:numFmt w:val="lowerLetter"/>
      <w:start w:val="1"/>
    </w:lvl>
  </w:abstractNum>
  <w:abstractNum w:abstractNumId="18">
    <w:nsid w:val="4353D0CD"/>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9">
    <w:nsid w:val="B03E0C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0">
    <w:nsid w:val="189A769B"/>
    <w:multiLevelType w:val="hybridMultilevel"/>
    <w:lvl w:ilvl="0">
      <w:lvlJc w:val="left"/>
      <w:lvlText w:val="%1."/>
      <w:numFmt w:val="decimal"/>
      <w:start w:val="8"/>
    </w:lvl>
  </w:abstractNum>
  <w:abstractNum w:abstractNumId="21">
    <w:nsid w:val="54E49EB4"/>
    <w:multiLevelType w:val="hybridMultilevel"/>
    <w:lvl w:ilvl="0">
      <w:lvlJc w:val="left"/>
      <w:lvlText w:val="%1"/>
      <w:numFmt w:val="decimal"/>
      <w:start w:val="1"/>
    </w:lvl>
    <w:lvl w:ilvl="1">
      <w:lvlJc w:val="left"/>
      <w:lvlText w:val="(%2)"/>
      <w:numFmt w:val="lowerLetter"/>
      <w:start w:val="1"/>
    </w:lvl>
  </w:abstractNum>
  <w:abstractNum w:abstractNumId="22">
    <w:nsid w:val="71F32454"/>
    <w:multiLevelType w:val="hybridMultilevel"/>
    <w:lvl w:ilvl="0">
      <w:lvlJc w:val="left"/>
      <w:lvlText w:val="%1."/>
      <w:numFmt w:val="decimal"/>
      <w:start w:val="9"/>
    </w:lvl>
    <w:lvl w:ilvl="1">
      <w:lvlJc w:val="left"/>
      <w:lvlText w:val="(%2)"/>
      <w:numFmt w:val="lowerLetter"/>
      <w:start w:val="1"/>
    </w:lvl>
  </w:abstractNum>
  <w:abstractNum w:abstractNumId="23">
    <w:nsid w:val="2CA8861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4">
    <w:nsid w:val="836C40E"/>
    <w:multiLevelType w:val="hybridMultilevel"/>
    <w:lvl w:ilvl="0">
      <w:lvlJc w:val="left"/>
      <w:lvlText w:val="(%1)"/>
      <w:numFmt w:val="lowerLetter"/>
      <w:start w:val="35"/>
    </w:lvl>
    <w:lvl w:ilvl="1">
      <w:lvlJc w:val="left"/>
      <w:lvlText w:val="%2."/>
      <w:numFmt w:val="decimal"/>
      <w:start w:val="11"/>
    </w:lvl>
    <w:lvl w:ilvl="2">
      <w:lvlJc w:val="left"/>
      <w:lvlText w:val="(%3)"/>
      <w:numFmt w:val="lowerLetter"/>
      <w:start w:val="3"/>
    </w:lvl>
  </w:abstractNum>
  <w:abstractNum w:abstractNumId="25">
    <w:nsid w:val="2901D8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6">
    <w:nsid w:val="3A95F874"/>
    <w:multiLevelType w:val="hybridMultilevel"/>
    <w:lvl w:ilvl="0">
      <w:lvlJc w:val="left"/>
      <w:lvlText w:val="%1."/>
      <w:numFmt w:val="decimal"/>
      <w:start w:val="13"/>
    </w:lvl>
    <w:lvl w:ilvl="1">
      <w:lvlJc w:val="left"/>
      <w:lvlText w:val="(%2)"/>
      <w:numFmt w:val="lowerLetter"/>
      <w:start w:val="1"/>
    </w:lvl>
  </w:abstractNum>
  <w:abstractNum w:abstractNumId="27">
    <w:nsid w:val="8138641"/>
    <w:multiLevelType w:val="hybridMultilevel"/>
    <w:lvl w:ilvl="0">
      <w:lvlJc w:val="left"/>
      <w:lvlText w:val="%1."/>
      <w:numFmt w:val="decimal"/>
      <w:start w:val="15"/>
    </w:lvl>
  </w:abstractNum>
  <w:abstractNum w:abstractNumId="28">
    <w:nsid w:val="1E7FF521"/>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abstractNum>
  <w:abstractNum w:abstractNumId="29">
    <w:nsid w:val="7C3DBD3D"/>
    <w:multiLevelType w:val="hybridMultilevel"/>
    <w:lvl w:ilvl="0">
      <w:lvlJc w:val="left"/>
      <w:lvlText w:val="(%1)"/>
      <w:numFmt w:val="lowerLetter"/>
      <w:start w:val="9"/>
    </w:lvl>
    <w:lvl w:ilvl="1">
      <w:lvlJc w:val="left"/>
      <w:lvlText w:val="%2."/>
      <w:numFmt w:val="decimal"/>
      <w:start w:val="18"/>
    </w:lvl>
    <w:lvl w:ilvl="2">
      <w:lvlJc w:val="left"/>
      <w:lvlText w:val="%3"/>
      <w:numFmt w:val="lowerLetter"/>
      <w:start w:val="1"/>
    </w:lvl>
  </w:abstractNum>
  <w:abstractNum w:abstractNumId="30">
    <w:nsid w:val="737B8DDC"/>
    <w:multiLevelType w:val="hybridMultilevel"/>
    <w:lvl w:ilvl="0">
      <w:lvlJc w:val="left"/>
      <w:lvlText w:val="%1."/>
      <w:numFmt w:val="decimal"/>
      <w:start w:val="20"/>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jpeg"/><Relationship Id="rId71" Type="http://schemas.openxmlformats.org/officeDocument/2006/relationships/image" Target="media/image50.jpe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21" Type="http://schemas.openxmlformats.org/officeDocument/2006/relationships/hyperlink" Target="https://www.sec.gov/ix?doc=/Archives/edgar/data/1903595/000121390026046293/ea0287001-10ka1_brag.htm" TargetMode="External"/><Relationship Id="rId22" Type="http://schemas.openxmlformats.org/officeDocument/2006/relationships/hyperlink" Target="https://www.sec.gov/ix?doc=/Archives/edgar/data/1903595/000121390026057818/ea0288828-10q_brag.htm" TargetMode="External"/><Relationship Id="rId23" Type="http://schemas.openxmlformats.org/officeDocument/2006/relationships/hyperlink" Target="http://www.sec.gov/ix?doc=/Archives/edgar/data/1903595/000121390026003029/ea0272276-8k_brag.htm" TargetMode="External"/><Relationship Id="rId24" Type="http://schemas.openxmlformats.org/officeDocument/2006/relationships/hyperlink" Target="https://www.sec.gov/ix?doc=/Archives/edgar/data/1903595/000121390026015027/ea0276712-8k_brag.htm" TargetMode="External"/><Relationship Id="rId25" Type="http://schemas.openxmlformats.org/officeDocument/2006/relationships/hyperlink" Target="https://www.sec.gov/ix?doc=/Archives/edgar/data/1903595/000121390026032248/ea028283301-8k_brag.htm" TargetMode="External"/><Relationship Id="rId26" Type="http://schemas.openxmlformats.org/officeDocument/2006/relationships/hyperlink" Target="https://www.sec.gov/ix?doc=/Archives/edgar/data/1903595/000121390026033558/ea0283093-8k_brag.htm" TargetMode="External"/><Relationship Id="rId27" Type="http://schemas.openxmlformats.org/officeDocument/2006/relationships/hyperlink" Target="https://www.sec.gov/ix?doc=/Archives/edgar/data/1903595/000121390026037853/ea0284417-8k425_brag.htm" TargetMode="External"/><Relationship Id="rId28" Type="http://schemas.openxmlformats.org/officeDocument/2006/relationships/hyperlink" Target="https://www.sec.gov/ix?doc=/Archives/edgar/data/1903595/000121390026043010/ea0286036-8k_brag.htm" TargetMode="External"/><Relationship Id="rId29" Type="http://schemas.openxmlformats.org/officeDocument/2006/relationships/hyperlink" Target="https://www.sec.gov/ix?doc=/Archives/edgar/data/1903595/000121390026053894/ea0289773-8k_braghouse.htm" TargetMode="External"/><Relationship Id="rId30" Type="http://schemas.openxmlformats.org/officeDocument/2006/relationships/hyperlink" Target="https://www.sec.gov/ix?doc=/Archives/edgar/data/1903595/000121390026057791/ea0290808-8k425_brag.htm" TargetMode="External"/><Relationship Id="rId31" Type="http://schemas.openxmlformats.org/officeDocument/2006/relationships/hyperlink" Target="http://www.sec.gov/Archives/edgar/data/1903595/000121390025013806/ea0231116-8a12b_brag.htm" TargetMode="External"/><Relationship Id="rId50" Type="http://schemas.openxmlformats.org/officeDocument/2006/relationships/hyperlink" Target="https://www.sec.gov/ix?doc=/Archives/edgar/data/1903595/000121390026036715/ea0279601-10k_braghouse.htm" TargetMode="External"/><Relationship Id="rId53" Type="http://schemas.openxmlformats.org/officeDocument/2006/relationships/hyperlink" Target="http://www.sec.gov/Archives/edgar/data/1903595/000121390026033558/ea028309301ex10-1.htm" TargetMode="External"/><Relationship Id="rId54" Type="http://schemas.openxmlformats.org/officeDocument/2006/relationships/hyperlink" Target="http://www.sec.gov/Archives/edgar/data/1903595/000121390026033558/ea028309301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2026-05-27T05:16:30Z</dcterms:created>
  <dcterms:modified xsi:type="dcterms:W3CDTF">2026-05-27T05:16:30Z</dcterms:modified>
</cp:coreProperties>
</file>